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64662" w14:textId="77777777" w:rsidR="00046060" w:rsidRDefault="00046060">
      <w:pPr>
        <w:pStyle w:val="Sinespaciado"/>
        <w:rPr>
          <w:rFonts w:ascii="Times New Roman" w:eastAsiaTheme="minorEastAsia" w:hAnsi="Times New Roman" w:cs="Times New Roman"/>
          <w:sz w:val="2"/>
          <w:szCs w:val="24"/>
          <w:lang w:val="es-ES_tradnl" w:eastAsia="es-ES"/>
        </w:rPr>
      </w:pPr>
      <w:r>
        <w:rPr>
          <w:rFonts w:ascii="Times New Roman" w:eastAsiaTheme="minorEastAsia" w:hAnsi="Times New Roman" w:cs="Times New Roman"/>
          <w:sz w:val="2"/>
          <w:szCs w:val="24"/>
          <w:lang w:val="es-ES_tradnl" w:eastAsia="es-ES"/>
        </w:rPr>
        <w:tab/>
      </w:r>
    </w:p>
    <w:sdt>
      <w:sdtPr>
        <w:rPr>
          <w:rFonts w:ascii="Times New Roman" w:eastAsiaTheme="minorEastAsia" w:hAnsi="Times New Roman" w:cs="Times New Roman"/>
          <w:sz w:val="2"/>
          <w:szCs w:val="24"/>
          <w:lang w:val="es-ES_tradnl" w:eastAsia="es-ES"/>
        </w:rPr>
        <w:id w:val="-1951234547"/>
        <w:docPartObj>
          <w:docPartGallery w:val="Cover Pages"/>
          <w:docPartUnique/>
        </w:docPartObj>
      </w:sdtPr>
      <w:sdtEndPr>
        <w:rPr>
          <w:rFonts w:eastAsiaTheme="majorEastAsia"/>
          <w:b/>
          <w:bCs/>
          <w:color w:val="FF0000"/>
          <w:sz w:val="22"/>
          <w:szCs w:val="26"/>
          <w:lang w:val="es-GT"/>
        </w:rPr>
      </w:sdtEndPr>
      <w:sdtContent>
        <w:p w14:paraId="4866D187" w14:textId="77777777" w:rsidR="00DB22E2" w:rsidRPr="0064135E" w:rsidRDefault="009A1471">
          <w:pPr>
            <w:pStyle w:val="Sinespaciado"/>
            <w:rPr>
              <w:rFonts w:ascii="Times New Roman" w:hAnsi="Times New Roman" w:cs="Times New Roman"/>
              <w:sz w:val="2"/>
            </w:rPr>
          </w:pPr>
          <w:r w:rsidRPr="0064135E">
            <w:rPr>
              <w:rFonts w:ascii="Times New Roman" w:hAnsi="Times New Roman" w:cs="Times New Roman"/>
              <w:noProof/>
              <w:lang w:eastAsia="es-GT"/>
            </w:rPr>
            <mc:AlternateContent>
              <mc:Choice Requires="wps">
                <w:drawing>
                  <wp:anchor distT="0" distB="0" distL="114300" distR="114300" simplePos="0" relativeHeight="251658242" behindDoc="0" locked="0" layoutInCell="1" allowOverlap="1" wp14:anchorId="49730031" wp14:editId="630EEAF4">
                    <wp:simplePos x="0" y="0"/>
                    <wp:positionH relativeFrom="page">
                      <wp:align>center</wp:align>
                    </wp:positionH>
                    <wp:positionV relativeFrom="margin">
                      <wp:align>top</wp:align>
                    </wp:positionV>
                    <wp:extent cx="5943600" cy="234461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943600" cy="2344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106F2E28" w:rsidR="000A5B5B" w:rsidRPr="00BF230D" w:rsidRDefault="00000000">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Content>
                                    <w:r w:rsidR="00E73D62">
                                      <w:rPr>
                                        <w:rFonts w:ascii="Times New Roman" w:hAnsi="Times New Roman" w:cs="Times New Roman"/>
                                        <w:b/>
                                        <w:bCs/>
                                        <w:i/>
                                        <w:iCs/>
                                        <w:color w:val="4F81BD" w:themeColor="accent1"/>
                                        <w:sz w:val="36"/>
                                        <w:szCs w:val="36"/>
                                      </w:rPr>
                                      <w:t>Tercer</w:t>
                                    </w:r>
                                    <w:r w:rsidR="005557C8">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5557C8">
                                  <w:rPr>
                                    <w:rFonts w:ascii="Times New Roman" w:hAnsi="Times New Roman" w:cs="Times New Roman"/>
                                    <w:b/>
                                    <w:bCs/>
                                    <w:i/>
                                    <w:iCs/>
                                    <w:color w:val="4F81BD" w:themeColor="accent1"/>
                                    <w:sz w:val="36"/>
                                    <w:szCs w:val="36"/>
                                  </w:rPr>
                                  <w:t>3</w:t>
                                </w:r>
                                <w:r w:rsidR="000A5B5B" w:rsidRPr="00BF230D">
                                  <w:rPr>
                                    <w:rFonts w:ascii="Times New Roman" w:hAnsi="Times New Roman" w:cs="Times New Roman"/>
                                    <w:b/>
                                    <w:bCs/>
                                    <w:i/>
                                    <w:iCs/>
                                    <w:lang w:val="es-ES"/>
                                  </w:rPr>
                                  <w:t xml:space="preserve"> </w:t>
                                </w:r>
                              </w:p>
                              <w:p w14:paraId="39A113FF" w14:textId="77777777" w:rsidR="000A5B5B" w:rsidRDefault="000A5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9730031" id="_x0000_t202" coordsize="21600,21600" o:spt="202" path="m,l,21600r21600,l21600,xe">
                    <v:stroke joinstyle="miter"/>
                    <v:path gradientshapeok="t" o:connecttype="rect"/>
                  </v:shapetype>
                  <v:shape id="Cuadro de texto 62" o:spid="_x0000_s1026" type="#_x0000_t202" style="position:absolute;margin-left:0;margin-top:0;width:468pt;height:184.6pt;z-index:25165824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" filled="f" stroked="f" strokeweight=".5pt">
                    <v:textbo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106F2E28" w:rsidR="000A5B5B" w:rsidRPr="00BF230D" w:rsidRDefault="00000000">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Content>
                              <w:r w:rsidR="00E73D62">
                                <w:rPr>
                                  <w:rFonts w:ascii="Times New Roman" w:hAnsi="Times New Roman" w:cs="Times New Roman"/>
                                  <w:b/>
                                  <w:bCs/>
                                  <w:i/>
                                  <w:iCs/>
                                  <w:color w:val="4F81BD" w:themeColor="accent1"/>
                                  <w:sz w:val="36"/>
                                  <w:szCs w:val="36"/>
                                </w:rPr>
                                <w:t>Tercer</w:t>
                              </w:r>
                              <w:r w:rsidR="005557C8">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5557C8">
                            <w:rPr>
                              <w:rFonts w:ascii="Times New Roman" w:hAnsi="Times New Roman" w:cs="Times New Roman"/>
                              <w:b/>
                              <w:bCs/>
                              <w:i/>
                              <w:iCs/>
                              <w:color w:val="4F81BD" w:themeColor="accent1"/>
                              <w:sz w:val="36"/>
                              <w:szCs w:val="36"/>
                            </w:rPr>
                            <w:t>3</w:t>
                          </w:r>
                          <w:r w:rsidR="000A5B5B" w:rsidRPr="00BF230D">
                            <w:rPr>
                              <w:rFonts w:ascii="Times New Roman" w:hAnsi="Times New Roman" w:cs="Times New Roman"/>
                              <w:b/>
                              <w:bCs/>
                              <w:i/>
                              <w:iCs/>
                              <w:lang w:val="es-ES"/>
                            </w:rPr>
                            <w:t xml:space="preserve"> </w:t>
                          </w:r>
                        </w:p>
                        <w:p w14:paraId="39A113FF" w14:textId="77777777" w:rsidR="000A5B5B" w:rsidRDefault="000A5B5B"/>
                      </w:txbxContent>
                    </v:textbox>
                    <w10:wrap anchorx="page" anchory="margin"/>
                  </v:shape>
                </w:pict>
              </mc:Fallback>
            </mc:AlternateContent>
          </w:r>
        </w:p>
        <w:p w14:paraId="7388F779" w14:textId="77777777" w:rsidR="00DB22E2" w:rsidRPr="0064135E" w:rsidRDefault="00DB22E2" w:rsidP="00CD34D6">
          <w:pPr>
            <w:rPr>
              <w:rFonts w:cs="Times New Roman"/>
            </w:rPr>
          </w:pPr>
          <w:r w:rsidRPr="0064135E">
            <w:rPr>
              <w:rFonts w:cs="Times New Roman"/>
              <w:noProof/>
              <w:color w:val="4F81BD" w:themeColor="accent1"/>
              <w:sz w:val="36"/>
              <w:szCs w:val="36"/>
              <w:lang w:eastAsia="es-GT"/>
            </w:rPr>
            <mc:AlternateContent>
              <mc:Choice Requires="wpg">
                <w:drawing>
                  <wp:anchor distT="0" distB="0" distL="114300" distR="114300" simplePos="0" relativeHeight="251676676" behindDoc="1" locked="0" layoutInCell="1" allowOverlap="1" wp14:anchorId="05D5122E" wp14:editId="065F7D2F">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F545181" id="Grupo 2" o:spid="_x0000_s1026" style="position:absolute;margin-left:0;margin-top:0;width:432.65pt;height:448.55pt;z-index:-25163980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64135E">
            <w:rPr>
              <w:rFonts w:cs="Times New Roman"/>
              <w:noProof/>
              <w:lang w:eastAsia="es-GT"/>
            </w:rPr>
            <mc:AlternateContent>
              <mc:Choice Requires="wps">
                <w:drawing>
                  <wp:anchor distT="0" distB="0" distL="114300" distR="114300" simplePos="0" relativeHeight="251658240" behindDoc="0" locked="0" layoutInCell="1" allowOverlap="1" wp14:anchorId="2C570617" wp14:editId="7C267477">
                    <wp:simplePos x="0" y="0"/>
                    <wp:positionH relativeFrom="page">
                      <wp:align>center</wp:align>
                    </wp:positionH>
                    <wp:positionV relativeFrom="margin">
                      <wp:align>bottom</wp:align>
                    </wp:positionV>
                    <wp:extent cx="5943600" cy="374904"/>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20B9" w14:textId="77777777" w:rsidR="000A5B5B" w:rsidRPr="00BF230D" w:rsidRDefault="00000000">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C570617" id="Cuadro de texto 69" o:spid="_x0000_s1027" type="#_x0000_t202" style="position:absolute;left:0;text-align:left;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4AC520B9" w14:textId="77777777" w:rsidR="000A5B5B" w:rsidRPr="00BF230D" w:rsidRDefault="00000000">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v:textbox>
                    <w10:wrap anchorx="page" anchory="margin"/>
                  </v:shape>
                </w:pict>
              </mc:Fallback>
            </mc:AlternateContent>
          </w:r>
        </w:p>
        <w:p w14:paraId="1E6B495C" w14:textId="669C5AFA" w:rsidR="00DB22E2" w:rsidRPr="0064135E" w:rsidRDefault="00F015E4" w:rsidP="00CD34D6">
          <w:pPr>
            <w:spacing w:after="200" w:line="276" w:lineRule="auto"/>
            <w:rPr>
              <w:rFonts w:eastAsiaTheme="majorEastAsia" w:cs="Times New Roman"/>
              <w:b/>
              <w:bCs/>
              <w:color w:val="FF0000"/>
              <w:szCs w:val="26"/>
            </w:rPr>
          </w:pPr>
          <w:r w:rsidRPr="0064135E">
            <w:rPr>
              <w:rFonts w:eastAsiaTheme="majorEastAsia" w:cs="Times New Roman"/>
              <w:b/>
              <w:bCs/>
              <w:noProof/>
              <w:color w:val="FF0000"/>
              <w:szCs w:val="26"/>
            </w:rPr>
            <w:drawing>
              <wp:anchor distT="0" distB="0" distL="114300" distR="114300" simplePos="0" relativeHeight="251657215" behindDoc="0" locked="0" layoutInCell="1" allowOverlap="1" wp14:anchorId="0EAB7DE1" wp14:editId="7E6D130B">
                <wp:simplePos x="0" y="0"/>
                <wp:positionH relativeFrom="margin">
                  <wp:align>center</wp:align>
                </wp:positionH>
                <wp:positionV relativeFrom="paragraph">
                  <wp:posOffset>2479260</wp:posOffset>
                </wp:positionV>
                <wp:extent cx="1677670" cy="1845310"/>
                <wp:effectExtent l="0" t="0" r="0" b="2540"/>
                <wp:wrapSquare wrapText="bothSides"/>
                <wp:docPr id="292517484" name="Imagen 292517484" descr="Logotipo, nombre de la empresa&#10;&#10;Descripción generada automáticamente">
                  <a:extLst xmlns:a="http://schemas.openxmlformats.org/drawingml/2006/main">
                    <a:ext uri="{FF2B5EF4-FFF2-40B4-BE49-F238E27FC236}">
                      <a16:creationId xmlns:a16="http://schemas.microsoft.com/office/drawing/2014/main" id="{B2026591-938B-AFE1-1A8B-110537A1E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17484" name="Imagen 292517484" descr="Logotipo, nombre de la empresa&#10;&#10;Descripción generada automáticamente">
                          <a:extLst>
                            <a:ext uri="{FF2B5EF4-FFF2-40B4-BE49-F238E27FC236}">
                              <a16:creationId xmlns:a16="http://schemas.microsoft.com/office/drawing/2014/main" id="{B2026591-938B-AFE1-1A8B-110537A1EC5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457" t="14032" r="16881" b="12626"/>
                        <a:stretch/>
                      </pic:blipFill>
                      <pic:spPr bwMode="auto">
                        <a:xfrm>
                          <a:off x="0" y="0"/>
                          <a:ext cx="1677670" cy="184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2E2" w:rsidRPr="0064135E">
            <w:rPr>
              <w:rFonts w:eastAsiaTheme="majorEastAsia" w:cs="Times New Roman"/>
              <w:b/>
              <w:bCs/>
              <w:color w:val="FF0000"/>
              <w:szCs w:val="26"/>
            </w:rPr>
            <w:br w:type="page"/>
          </w:r>
        </w:p>
      </w:sdtContent>
    </w:sdt>
    <w:sdt>
      <w:sdtPr>
        <w:rPr>
          <w:rFonts w:ascii="Times New Roman" w:eastAsiaTheme="minorEastAsia" w:hAnsi="Times New Roman" w:cs="Times New Roman"/>
          <w:b w:val="0"/>
          <w:bCs w:val="0"/>
          <w:color w:val="FF0000"/>
          <w:sz w:val="24"/>
          <w:szCs w:val="24"/>
          <w:lang w:val="es-ES" w:eastAsia="es-ES"/>
        </w:rPr>
        <w:id w:val="-1412613934"/>
        <w:docPartObj>
          <w:docPartGallery w:val="Table of Contents"/>
          <w:docPartUnique/>
        </w:docPartObj>
      </w:sdtPr>
      <w:sdtEndPr>
        <w:rPr>
          <w:sz w:val="22"/>
        </w:rPr>
      </w:sdtEndPr>
      <w:sdtContent>
        <w:p w14:paraId="14EA01E7" w14:textId="77777777" w:rsidR="0032588B" w:rsidRPr="0064135E" w:rsidRDefault="0032588B" w:rsidP="000D58D6">
          <w:pPr>
            <w:pStyle w:val="TtuloTDC"/>
            <w:jc w:val="center"/>
            <w:rPr>
              <w:rFonts w:ascii="Times New Roman" w:hAnsi="Times New Roman" w:cs="Times New Roman"/>
              <w:color w:val="auto"/>
              <w:sz w:val="24"/>
              <w:szCs w:val="24"/>
              <w:lang w:val="es-ES"/>
            </w:rPr>
          </w:pPr>
          <w:r w:rsidRPr="0064135E">
            <w:rPr>
              <w:rFonts w:ascii="Times New Roman" w:hAnsi="Times New Roman" w:cs="Times New Roman"/>
              <w:color w:val="auto"/>
              <w:sz w:val="24"/>
              <w:szCs w:val="24"/>
              <w:lang w:val="es-ES"/>
            </w:rPr>
            <w:t>Contenido</w:t>
          </w:r>
        </w:p>
        <w:p w14:paraId="6513F50D" w14:textId="0E039FF4" w:rsidR="00C66BF5" w:rsidRDefault="0032588B">
          <w:pPr>
            <w:pStyle w:val="TDC1"/>
            <w:rPr>
              <w:rFonts w:asciiTheme="minorHAnsi" w:eastAsiaTheme="minorEastAsia" w:hAnsiTheme="minorHAnsi" w:cstheme="minorBidi"/>
              <w:b w:val="0"/>
              <w:bCs w:val="0"/>
              <w:kern w:val="2"/>
              <w:sz w:val="24"/>
              <w:lang w:eastAsia="es-GT"/>
              <w14:ligatures w14:val="standardContextual"/>
            </w:rPr>
          </w:pPr>
          <w:r w:rsidRPr="0064135E">
            <w:rPr>
              <w:color w:val="FF0000"/>
              <w:lang w:val="es-ES_tradnl"/>
            </w:rPr>
            <w:fldChar w:fldCharType="begin"/>
          </w:r>
          <w:r w:rsidRPr="0064135E">
            <w:rPr>
              <w:color w:val="FF0000"/>
            </w:rPr>
            <w:instrText xml:space="preserve"> TOC \o "1-3" \h \z \u </w:instrText>
          </w:r>
          <w:r w:rsidRPr="0064135E">
            <w:rPr>
              <w:color w:val="FF0000"/>
              <w:lang w:val="es-ES_tradnl"/>
            </w:rPr>
            <w:fldChar w:fldCharType="separate"/>
          </w:r>
          <w:hyperlink w:anchor="_Toc152139312" w:history="1">
            <w:r w:rsidR="00C66BF5" w:rsidRPr="005024AC">
              <w:rPr>
                <w:rStyle w:val="Hipervnculo"/>
                <w:lang w:val="es-ES_tradnl"/>
              </w:rPr>
              <w:t>Introducción</w:t>
            </w:r>
            <w:r w:rsidR="00C66BF5">
              <w:rPr>
                <w:webHidden/>
              </w:rPr>
              <w:tab/>
            </w:r>
            <w:r w:rsidR="00C66BF5">
              <w:rPr>
                <w:webHidden/>
              </w:rPr>
              <w:fldChar w:fldCharType="begin"/>
            </w:r>
            <w:r w:rsidR="00C66BF5">
              <w:rPr>
                <w:webHidden/>
              </w:rPr>
              <w:instrText xml:space="preserve"> PAGEREF _Toc152139312 \h </w:instrText>
            </w:r>
            <w:r w:rsidR="00C66BF5">
              <w:rPr>
                <w:webHidden/>
              </w:rPr>
            </w:r>
            <w:r w:rsidR="00C66BF5">
              <w:rPr>
                <w:webHidden/>
              </w:rPr>
              <w:fldChar w:fldCharType="separate"/>
            </w:r>
            <w:r w:rsidR="00346825">
              <w:rPr>
                <w:webHidden/>
              </w:rPr>
              <w:t>2</w:t>
            </w:r>
            <w:r w:rsidR="00C66BF5">
              <w:rPr>
                <w:webHidden/>
              </w:rPr>
              <w:fldChar w:fldCharType="end"/>
            </w:r>
          </w:hyperlink>
        </w:p>
        <w:p w14:paraId="49ACDA00" w14:textId="2C531047" w:rsidR="00C66BF5" w:rsidRDefault="00000000">
          <w:pPr>
            <w:pStyle w:val="TDC1"/>
            <w:rPr>
              <w:rFonts w:asciiTheme="minorHAnsi" w:eastAsiaTheme="minorEastAsia" w:hAnsiTheme="minorHAnsi" w:cstheme="minorBidi"/>
              <w:b w:val="0"/>
              <w:bCs w:val="0"/>
              <w:kern w:val="2"/>
              <w:sz w:val="24"/>
              <w:lang w:eastAsia="es-GT"/>
              <w14:ligatures w14:val="standardContextual"/>
            </w:rPr>
          </w:pPr>
          <w:hyperlink w:anchor="_Toc152139313" w:history="1">
            <w:r w:rsidR="00C66BF5" w:rsidRPr="005024AC">
              <w:rPr>
                <w:rStyle w:val="Hipervnculo"/>
                <w:lang w:val="es-ES_tradnl"/>
              </w:rPr>
              <w:t>Cambios Metodológicos 2023</w:t>
            </w:r>
            <w:r w:rsidR="00C66BF5">
              <w:rPr>
                <w:webHidden/>
              </w:rPr>
              <w:tab/>
            </w:r>
            <w:r w:rsidR="00C66BF5">
              <w:rPr>
                <w:webHidden/>
              </w:rPr>
              <w:fldChar w:fldCharType="begin"/>
            </w:r>
            <w:r w:rsidR="00C66BF5">
              <w:rPr>
                <w:webHidden/>
              </w:rPr>
              <w:instrText xml:space="preserve"> PAGEREF _Toc152139313 \h </w:instrText>
            </w:r>
            <w:r w:rsidR="00C66BF5">
              <w:rPr>
                <w:webHidden/>
              </w:rPr>
            </w:r>
            <w:r w:rsidR="00C66BF5">
              <w:rPr>
                <w:webHidden/>
              </w:rPr>
              <w:fldChar w:fldCharType="separate"/>
            </w:r>
            <w:r w:rsidR="00346825">
              <w:rPr>
                <w:webHidden/>
              </w:rPr>
              <w:t>2</w:t>
            </w:r>
            <w:r w:rsidR="00C66BF5">
              <w:rPr>
                <w:webHidden/>
              </w:rPr>
              <w:fldChar w:fldCharType="end"/>
            </w:r>
          </w:hyperlink>
        </w:p>
        <w:p w14:paraId="07340985" w14:textId="7F4031A6" w:rsidR="00C66BF5" w:rsidRDefault="00000000">
          <w:pPr>
            <w:pStyle w:val="TDC1"/>
            <w:rPr>
              <w:rFonts w:asciiTheme="minorHAnsi" w:eastAsiaTheme="minorEastAsia" w:hAnsiTheme="minorHAnsi" w:cstheme="minorBidi"/>
              <w:b w:val="0"/>
              <w:bCs w:val="0"/>
              <w:kern w:val="2"/>
              <w:sz w:val="24"/>
              <w:lang w:eastAsia="es-GT"/>
              <w14:ligatures w14:val="standardContextual"/>
            </w:rPr>
          </w:pPr>
          <w:hyperlink w:anchor="_Toc152139314" w:history="1">
            <w:r w:rsidR="00C66BF5" w:rsidRPr="005024AC">
              <w:rPr>
                <w:rStyle w:val="Hipervnculo"/>
                <w:lang w:val="es-ES_tradnl"/>
              </w:rPr>
              <w:t>I.</w:t>
            </w:r>
            <w:r w:rsidR="00C66BF5">
              <w:rPr>
                <w:rFonts w:asciiTheme="minorHAnsi" w:eastAsiaTheme="minorEastAsia" w:hAnsiTheme="minorHAnsi" w:cstheme="minorBidi"/>
                <w:b w:val="0"/>
                <w:bCs w:val="0"/>
                <w:kern w:val="2"/>
                <w:sz w:val="24"/>
                <w:lang w:eastAsia="es-GT"/>
                <w14:ligatures w14:val="standardContextual"/>
              </w:rPr>
              <w:tab/>
            </w:r>
            <w:r w:rsidR="00C66BF5" w:rsidRPr="005024AC">
              <w:rPr>
                <w:rStyle w:val="Hipervnculo"/>
                <w:lang w:val="es-ES_tradnl"/>
              </w:rPr>
              <w:t>Ingresos del Gobierno Central Presupuestario</w:t>
            </w:r>
            <w:r w:rsidR="00C66BF5">
              <w:rPr>
                <w:webHidden/>
              </w:rPr>
              <w:tab/>
            </w:r>
            <w:r w:rsidR="00C66BF5">
              <w:rPr>
                <w:webHidden/>
              </w:rPr>
              <w:fldChar w:fldCharType="begin"/>
            </w:r>
            <w:r w:rsidR="00C66BF5">
              <w:rPr>
                <w:webHidden/>
              </w:rPr>
              <w:instrText xml:space="preserve"> PAGEREF _Toc152139314 \h </w:instrText>
            </w:r>
            <w:r w:rsidR="00C66BF5">
              <w:rPr>
                <w:webHidden/>
              </w:rPr>
            </w:r>
            <w:r w:rsidR="00C66BF5">
              <w:rPr>
                <w:webHidden/>
              </w:rPr>
              <w:fldChar w:fldCharType="separate"/>
            </w:r>
            <w:r w:rsidR="00346825">
              <w:rPr>
                <w:webHidden/>
              </w:rPr>
              <w:t>2</w:t>
            </w:r>
            <w:r w:rsidR="00C66BF5">
              <w:rPr>
                <w:webHidden/>
              </w:rPr>
              <w:fldChar w:fldCharType="end"/>
            </w:r>
          </w:hyperlink>
        </w:p>
        <w:p w14:paraId="725DECC9" w14:textId="7442FF8F" w:rsidR="00C66BF5" w:rsidRDefault="00000000">
          <w:pPr>
            <w:pStyle w:val="TDC2"/>
            <w:rPr>
              <w:rFonts w:asciiTheme="minorHAnsi" w:hAnsiTheme="minorHAnsi"/>
              <w:noProof/>
              <w:kern w:val="2"/>
              <w:sz w:val="24"/>
              <w:lang w:eastAsia="es-GT"/>
              <w14:ligatures w14:val="standardContextual"/>
            </w:rPr>
          </w:pPr>
          <w:hyperlink w:anchor="_Toc152139315" w:history="1">
            <w:r w:rsidR="00C66BF5" w:rsidRPr="005024AC">
              <w:rPr>
                <w:rStyle w:val="Hipervnculo"/>
                <w:rFonts w:cs="Times New Roman"/>
                <w:noProof/>
              </w:rPr>
              <w:t>1.1</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Los ingresos fiscales continúan desacelerándose</w:t>
            </w:r>
            <w:r w:rsidR="00C66BF5">
              <w:rPr>
                <w:noProof/>
                <w:webHidden/>
              </w:rPr>
              <w:tab/>
            </w:r>
            <w:r w:rsidR="00C66BF5">
              <w:rPr>
                <w:noProof/>
                <w:webHidden/>
              </w:rPr>
              <w:fldChar w:fldCharType="begin"/>
            </w:r>
            <w:r w:rsidR="00C66BF5">
              <w:rPr>
                <w:noProof/>
                <w:webHidden/>
              </w:rPr>
              <w:instrText xml:space="preserve"> PAGEREF _Toc152139315 \h </w:instrText>
            </w:r>
            <w:r w:rsidR="00C66BF5">
              <w:rPr>
                <w:noProof/>
                <w:webHidden/>
              </w:rPr>
            </w:r>
            <w:r w:rsidR="00C66BF5">
              <w:rPr>
                <w:noProof/>
                <w:webHidden/>
              </w:rPr>
              <w:fldChar w:fldCharType="separate"/>
            </w:r>
            <w:r w:rsidR="00346825">
              <w:rPr>
                <w:noProof/>
                <w:webHidden/>
              </w:rPr>
              <w:t>2</w:t>
            </w:r>
            <w:r w:rsidR="00C66BF5">
              <w:rPr>
                <w:noProof/>
                <w:webHidden/>
              </w:rPr>
              <w:fldChar w:fldCharType="end"/>
            </w:r>
          </w:hyperlink>
        </w:p>
        <w:p w14:paraId="1851C113" w14:textId="1130893A" w:rsidR="00C66BF5" w:rsidRDefault="00000000">
          <w:pPr>
            <w:pStyle w:val="TDC2"/>
            <w:rPr>
              <w:rFonts w:asciiTheme="minorHAnsi" w:hAnsiTheme="minorHAnsi"/>
              <w:noProof/>
              <w:kern w:val="2"/>
              <w:sz w:val="24"/>
              <w:lang w:eastAsia="es-GT"/>
              <w14:ligatures w14:val="standardContextual"/>
            </w:rPr>
          </w:pPr>
          <w:hyperlink w:anchor="_Toc152139316" w:history="1">
            <w:r w:rsidR="00C66BF5" w:rsidRPr="005024AC">
              <w:rPr>
                <w:rStyle w:val="Hipervnculo"/>
                <w:rFonts w:cs="Times New Roman"/>
                <w:noProof/>
              </w:rPr>
              <w:t>1.2</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La recaudación crece a menor ritmo</w:t>
            </w:r>
            <w:r w:rsidR="00C66BF5">
              <w:rPr>
                <w:noProof/>
                <w:webHidden/>
              </w:rPr>
              <w:tab/>
            </w:r>
            <w:r w:rsidR="00C66BF5">
              <w:rPr>
                <w:noProof/>
                <w:webHidden/>
              </w:rPr>
              <w:fldChar w:fldCharType="begin"/>
            </w:r>
            <w:r w:rsidR="00C66BF5">
              <w:rPr>
                <w:noProof/>
                <w:webHidden/>
              </w:rPr>
              <w:instrText xml:space="preserve"> PAGEREF _Toc152139316 \h </w:instrText>
            </w:r>
            <w:r w:rsidR="00C66BF5">
              <w:rPr>
                <w:noProof/>
                <w:webHidden/>
              </w:rPr>
            </w:r>
            <w:r w:rsidR="00C66BF5">
              <w:rPr>
                <w:noProof/>
                <w:webHidden/>
              </w:rPr>
              <w:fldChar w:fldCharType="separate"/>
            </w:r>
            <w:r w:rsidR="00346825">
              <w:rPr>
                <w:noProof/>
                <w:webHidden/>
              </w:rPr>
              <w:t>3</w:t>
            </w:r>
            <w:r w:rsidR="00C66BF5">
              <w:rPr>
                <w:noProof/>
                <w:webHidden/>
              </w:rPr>
              <w:fldChar w:fldCharType="end"/>
            </w:r>
          </w:hyperlink>
        </w:p>
        <w:p w14:paraId="1368B8AB" w14:textId="2CDCB08E" w:rsidR="00C66BF5" w:rsidRDefault="00000000">
          <w:pPr>
            <w:pStyle w:val="TDC1"/>
            <w:rPr>
              <w:rFonts w:asciiTheme="minorHAnsi" w:eastAsiaTheme="minorEastAsia" w:hAnsiTheme="minorHAnsi" w:cstheme="minorBidi"/>
              <w:b w:val="0"/>
              <w:bCs w:val="0"/>
              <w:kern w:val="2"/>
              <w:sz w:val="24"/>
              <w:lang w:eastAsia="es-GT"/>
              <w14:ligatures w14:val="standardContextual"/>
            </w:rPr>
          </w:pPr>
          <w:hyperlink w:anchor="_Toc152139317" w:history="1">
            <w:r w:rsidR="00C66BF5" w:rsidRPr="005024AC">
              <w:rPr>
                <w:rStyle w:val="Hipervnculo"/>
                <w:lang w:val="es-ES_tradnl"/>
              </w:rPr>
              <w:t>II.</w:t>
            </w:r>
            <w:r w:rsidR="00C66BF5">
              <w:rPr>
                <w:rFonts w:asciiTheme="minorHAnsi" w:eastAsiaTheme="minorEastAsia" w:hAnsiTheme="minorHAnsi" w:cstheme="minorBidi"/>
                <w:b w:val="0"/>
                <w:bCs w:val="0"/>
                <w:kern w:val="2"/>
                <w:sz w:val="24"/>
                <w:lang w:eastAsia="es-GT"/>
                <w14:ligatures w14:val="standardContextual"/>
              </w:rPr>
              <w:tab/>
            </w:r>
            <w:r w:rsidR="00C66BF5" w:rsidRPr="005024AC">
              <w:rPr>
                <w:rStyle w:val="Hipervnculo"/>
                <w:lang w:val="es-ES_tradnl"/>
              </w:rPr>
              <w:t>Gasto Público del Gobierno Central Presupuestario</w:t>
            </w:r>
            <w:r w:rsidR="00C66BF5">
              <w:rPr>
                <w:webHidden/>
              </w:rPr>
              <w:tab/>
            </w:r>
            <w:r w:rsidR="00C66BF5">
              <w:rPr>
                <w:webHidden/>
              </w:rPr>
              <w:fldChar w:fldCharType="begin"/>
            </w:r>
            <w:r w:rsidR="00C66BF5">
              <w:rPr>
                <w:webHidden/>
              </w:rPr>
              <w:instrText xml:space="preserve"> PAGEREF _Toc152139317 \h </w:instrText>
            </w:r>
            <w:r w:rsidR="00C66BF5">
              <w:rPr>
                <w:webHidden/>
              </w:rPr>
            </w:r>
            <w:r w:rsidR="00C66BF5">
              <w:rPr>
                <w:webHidden/>
              </w:rPr>
              <w:fldChar w:fldCharType="separate"/>
            </w:r>
            <w:r w:rsidR="00346825">
              <w:rPr>
                <w:webHidden/>
              </w:rPr>
              <w:t>4</w:t>
            </w:r>
            <w:r w:rsidR="00C66BF5">
              <w:rPr>
                <w:webHidden/>
              </w:rPr>
              <w:fldChar w:fldCharType="end"/>
            </w:r>
          </w:hyperlink>
        </w:p>
        <w:p w14:paraId="33812587" w14:textId="7C4C4F09" w:rsidR="00C66BF5" w:rsidRDefault="00000000">
          <w:pPr>
            <w:pStyle w:val="TDC2"/>
            <w:rPr>
              <w:rFonts w:asciiTheme="minorHAnsi" w:hAnsiTheme="minorHAnsi"/>
              <w:noProof/>
              <w:kern w:val="2"/>
              <w:sz w:val="24"/>
              <w:lang w:eastAsia="es-GT"/>
              <w14:ligatures w14:val="standardContextual"/>
            </w:rPr>
          </w:pPr>
          <w:hyperlink w:anchor="_Toc152139319" w:history="1">
            <w:r w:rsidR="00C66BF5" w:rsidRPr="005024AC">
              <w:rPr>
                <w:rStyle w:val="Hipervnculo"/>
                <w:rFonts w:cs="Times New Roman"/>
                <w:noProof/>
                <w:lang w:val="es-ES_tradnl"/>
              </w:rPr>
              <w:t>2.1</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El ritmo del gasto se desacelera</w:t>
            </w:r>
            <w:r w:rsidR="00C66BF5">
              <w:rPr>
                <w:noProof/>
                <w:webHidden/>
              </w:rPr>
              <w:tab/>
            </w:r>
            <w:r w:rsidR="00C66BF5">
              <w:rPr>
                <w:noProof/>
                <w:webHidden/>
              </w:rPr>
              <w:fldChar w:fldCharType="begin"/>
            </w:r>
            <w:r w:rsidR="00C66BF5">
              <w:rPr>
                <w:noProof/>
                <w:webHidden/>
              </w:rPr>
              <w:instrText xml:space="preserve"> PAGEREF _Toc152139319 \h </w:instrText>
            </w:r>
            <w:r w:rsidR="00C66BF5">
              <w:rPr>
                <w:noProof/>
                <w:webHidden/>
              </w:rPr>
            </w:r>
            <w:r w:rsidR="00C66BF5">
              <w:rPr>
                <w:noProof/>
                <w:webHidden/>
              </w:rPr>
              <w:fldChar w:fldCharType="separate"/>
            </w:r>
            <w:r w:rsidR="00346825">
              <w:rPr>
                <w:noProof/>
                <w:webHidden/>
              </w:rPr>
              <w:t>4</w:t>
            </w:r>
            <w:r w:rsidR="00C66BF5">
              <w:rPr>
                <w:noProof/>
                <w:webHidden/>
              </w:rPr>
              <w:fldChar w:fldCharType="end"/>
            </w:r>
          </w:hyperlink>
        </w:p>
        <w:p w14:paraId="7C8988BA" w14:textId="7112E0E7" w:rsidR="00C66BF5" w:rsidRDefault="00000000">
          <w:pPr>
            <w:pStyle w:val="TDC1"/>
            <w:rPr>
              <w:rFonts w:asciiTheme="minorHAnsi" w:eastAsiaTheme="minorEastAsia" w:hAnsiTheme="minorHAnsi" w:cstheme="minorBidi"/>
              <w:b w:val="0"/>
              <w:bCs w:val="0"/>
              <w:kern w:val="2"/>
              <w:sz w:val="24"/>
              <w:lang w:eastAsia="es-GT"/>
              <w14:ligatures w14:val="standardContextual"/>
            </w:rPr>
          </w:pPr>
          <w:hyperlink w:anchor="_Toc152139320" w:history="1">
            <w:r w:rsidR="00C66BF5" w:rsidRPr="005024AC">
              <w:rPr>
                <w:rStyle w:val="Hipervnculo"/>
                <w:lang w:val="es-MX"/>
              </w:rPr>
              <w:t>III.</w:t>
            </w:r>
            <w:r w:rsidR="00C66BF5">
              <w:rPr>
                <w:rFonts w:asciiTheme="minorHAnsi" w:eastAsiaTheme="minorEastAsia" w:hAnsiTheme="minorHAnsi" w:cstheme="minorBidi"/>
                <w:b w:val="0"/>
                <w:bCs w:val="0"/>
                <w:kern w:val="2"/>
                <w:sz w:val="24"/>
                <w:lang w:eastAsia="es-GT"/>
                <w14:ligatures w14:val="standardContextual"/>
              </w:rPr>
              <w:tab/>
            </w:r>
            <w:r w:rsidR="00C66BF5" w:rsidRPr="005024AC">
              <w:rPr>
                <w:rStyle w:val="Hipervnculo"/>
                <w:lang w:val="es-MX"/>
              </w:rPr>
              <w:t>Transacciones en Activos No Financieros</w:t>
            </w:r>
            <w:r w:rsidR="00C66BF5">
              <w:rPr>
                <w:webHidden/>
              </w:rPr>
              <w:tab/>
            </w:r>
            <w:r w:rsidR="00C66BF5">
              <w:rPr>
                <w:webHidden/>
              </w:rPr>
              <w:fldChar w:fldCharType="begin"/>
            </w:r>
            <w:r w:rsidR="00C66BF5">
              <w:rPr>
                <w:webHidden/>
              </w:rPr>
              <w:instrText xml:space="preserve"> PAGEREF _Toc152139320 \h </w:instrText>
            </w:r>
            <w:r w:rsidR="00C66BF5">
              <w:rPr>
                <w:webHidden/>
              </w:rPr>
            </w:r>
            <w:r w:rsidR="00C66BF5">
              <w:rPr>
                <w:webHidden/>
              </w:rPr>
              <w:fldChar w:fldCharType="separate"/>
            </w:r>
            <w:r w:rsidR="00346825">
              <w:rPr>
                <w:webHidden/>
              </w:rPr>
              <w:t>5</w:t>
            </w:r>
            <w:r w:rsidR="00C66BF5">
              <w:rPr>
                <w:webHidden/>
              </w:rPr>
              <w:fldChar w:fldCharType="end"/>
            </w:r>
          </w:hyperlink>
        </w:p>
        <w:p w14:paraId="434F3BDC" w14:textId="6400DD36" w:rsidR="00C66BF5" w:rsidRDefault="00000000">
          <w:pPr>
            <w:pStyle w:val="TDC2"/>
            <w:rPr>
              <w:rFonts w:asciiTheme="minorHAnsi" w:hAnsiTheme="minorHAnsi"/>
              <w:noProof/>
              <w:kern w:val="2"/>
              <w:sz w:val="24"/>
              <w:lang w:eastAsia="es-GT"/>
              <w14:ligatures w14:val="standardContextual"/>
            </w:rPr>
          </w:pPr>
          <w:hyperlink w:anchor="_Toc152139324" w:history="1">
            <w:r w:rsidR="00C66BF5" w:rsidRPr="005024AC">
              <w:rPr>
                <w:rStyle w:val="Hipervnculo"/>
                <w:rFonts w:cs="Times New Roman"/>
                <w:noProof/>
              </w:rPr>
              <w:t>3.1</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Aumenta la inversión</w:t>
            </w:r>
            <w:r w:rsidR="00C66BF5">
              <w:rPr>
                <w:noProof/>
                <w:webHidden/>
              </w:rPr>
              <w:tab/>
            </w:r>
            <w:r w:rsidR="00C66BF5">
              <w:rPr>
                <w:noProof/>
                <w:webHidden/>
              </w:rPr>
              <w:fldChar w:fldCharType="begin"/>
            </w:r>
            <w:r w:rsidR="00C66BF5">
              <w:rPr>
                <w:noProof/>
                <w:webHidden/>
              </w:rPr>
              <w:instrText xml:space="preserve"> PAGEREF _Toc152139324 \h </w:instrText>
            </w:r>
            <w:r w:rsidR="00C66BF5">
              <w:rPr>
                <w:noProof/>
                <w:webHidden/>
              </w:rPr>
            </w:r>
            <w:r w:rsidR="00C66BF5">
              <w:rPr>
                <w:noProof/>
                <w:webHidden/>
              </w:rPr>
              <w:fldChar w:fldCharType="separate"/>
            </w:r>
            <w:r w:rsidR="00346825">
              <w:rPr>
                <w:noProof/>
                <w:webHidden/>
              </w:rPr>
              <w:t>5</w:t>
            </w:r>
            <w:r w:rsidR="00C66BF5">
              <w:rPr>
                <w:noProof/>
                <w:webHidden/>
              </w:rPr>
              <w:fldChar w:fldCharType="end"/>
            </w:r>
          </w:hyperlink>
        </w:p>
        <w:p w14:paraId="51B83D2A" w14:textId="1AFCCDA8" w:rsidR="00C66BF5" w:rsidRDefault="00000000">
          <w:pPr>
            <w:pStyle w:val="TDC1"/>
            <w:rPr>
              <w:rFonts w:asciiTheme="minorHAnsi" w:eastAsiaTheme="minorEastAsia" w:hAnsiTheme="minorHAnsi" w:cstheme="minorBidi"/>
              <w:b w:val="0"/>
              <w:bCs w:val="0"/>
              <w:kern w:val="2"/>
              <w:sz w:val="24"/>
              <w:lang w:eastAsia="es-GT"/>
              <w14:ligatures w14:val="standardContextual"/>
            </w:rPr>
          </w:pPr>
          <w:hyperlink w:anchor="_Toc152139325" w:history="1">
            <w:r w:rsidR="00C66BF5" w:rsidRPr="005024AC">
              <w:rPr>
                <w:rStyle w:val="Hipervnculo"/>
                <w:lang w:val="es-MX"/>
              </w:rPr>
              <w:t>IV.</w:t>
            </w:r>
            <w:r w:rsidR="00C66BF5">
              <w:rPr>
                <w:rFonts w:asciiTheme="minorHAnsi" w:eastAsiaTheme="minorEastAsia" w:hAnsiTheme="minorHAnsi" w:cstheme="minorBidi"/>
                <w:b w:val="0"/>
                <w:bCs w:val="0"/>
                <w:kern w:val="2"/>
                <w:sz w:val="24"/>
                <w:lang w:eastAsia="es-GT"/>
                <w14:ligatures w14:val="standardContextual"/>
              </w:rPr>
              <w:tab/>
            </w:r>
            <w:r w:rsidR="00C66BF5" w:rsidRPr="005024AC">
              <w:rPr>
                <w:rStyle w:val="Hipervnculo"/>
                <w:lang w:val="es-MX"/>
              </w:rPr>
              <w:t>Financiamiento</w:t>
            </w:r>
            <w:r w:rsidR="00C66BF5">
              <w:rPr>
                <w:webHidden/>
              </w:rPr>
              <w:tab/>
            </w:r>
            <w:r w:rsidR="00C66BF5">
              <w:rPr>
                <w:webHidden/>
              </w:rPr>
              <w:fldChar w:fldCharType="begin"/>
            </w:r>
            <w:r w:rsidR="00C66BF5">
              <w:rPr>
                <w:webHidden/>
              </w:rPr>
              <w:instrText xml:space="preserve"> PAGEREF _Toc152139325 \h </w:instrText>
            </w:r>
            <w:r w:rsidR="00C66BF5">
              <w:rPr>
                <w:webHidden/>
              </w:rPr>
            </w:r>
            <w:r w:rsidR="00C66BF5">
              <w:rPr>
                <w:webHidden/>
              </w:rPr>
              <w:fldChar w:fldCharType="separate"/>
            </w:r>
            <w:r w:rsidR="00346825">
              <w:rPr>
                <w:webHidden/>
              </w:rPr>
              <w:t>6</w:t>
            </w:r>
            <w:r w:rsidR="00C66BF5">
              <w:rPr>
                <w:webHidden/>
              </w:rPr>
              <w:fldChar w:fldCharType="end"/>
            </w:r>
          </w:hyperlink>
        </w:p>
        <w:p w14:paraId="240F50B9" w14:textId="61A1B7BD" w:rsidR="00C66BF5" w:rsidRDefault="00000000">
          <w:pPr>
            <w:pStyle w:val="TDC2"/>
            <w:rPr>
              <w:rFonts w:asciiTheme="minorHAnsi" w:hAnsiTheme="minorHAnsi"/>
              <w:noProof/>
              <w:kern w:val="2"/>
              <w:sz w:val="24"/>
              <w:lang w:eastAsia="es-GT"/>
              <w14:ligatures w14:val="standardContextual"/>
            </w:rPr>
          </w:pPr>
          <w:hyperlink w:anchor="_Toc152139327" w:history="1">
            <w:r w:rsidR="00C66BF5" w:rsidRPr="005024AC">
              <w:rPr>
                <w:rStyle w:val="Hipervnculo"/>
                <w:rFonts w:cs="Times New Roman"/>
                <w:noProof/>
              </w:rPr>
              <w:t>4.1</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Se redujeron los activos financieros</w:t>
            </w:r>
            <w:r w:rsidR="00C66BF5">
              <w:rPr>
                <w:noProof/>
                <w:webHidden/>
              </w:rPr>
              <w:tab/>
            </w:r>
            <w:r w:rsidR="00C66BF5">
              <w:rPr>
                <w:noProof/>
                <w:webHidden/>
              </w:rPr>
              <w:fldChar w:fldCharType="begin"/>
            </w:r>
            <w:r w:rsidR="00C66BF5">
              <w:rPr>
                <w:noProof/>
                <w:webHidden/>
              </w:rPr>
              <w:instrText xml:space="preserve"> PAGEREF _Toc152139327 \h </w:instrText>
            </w:r>
            <w:r w:rsidR="00C66BF5">
              <w:rPr>
                <w:noProof/>
                <w:webHidden/>
              </w:rPr>
            </w:r>
            <w:r w:rsidR="00C66BF5">
              <w:rPr>
                <w:noProof/>
                <w:webHidden/>
              </w:rPr>
              <w:fldChar w:fldCharType="separate"/>
            </w:r>
            <w:r w:rsidR="00346825">
              <w:rPr>
                <w:noProof/>
                <w:webHidden/>
              </w:rPr>
              <w:t>6</w:t>
            </w:r>
            <w:r w:rsidR="00C66BF5">
              <w:rPr>
                <w:noProof/>
                <w:webHidden/>
              </w:rPr>
              <w:fldChar w:fldCharType="end"/>
            </w:r>
          </w:hyperlink>
        </w:p>
        <w:p w14:paraId="7A988239" w14:textId="2A82AD3E" w:rsidR="00C66BF5" w:rsidRDefault="00000000">
          <w:pPr>
            <w:pStyle w:val="TDC2"/>
            <w:rPr>
              <w:rFonts w:asciiTheme="minorHAnsi" w:hAnsiTheme="minorHAnsi"/>
              <w:noProof/>
              <w:kern w:val="2"/>
              <w:sz w:val="24"/>
              <w:lang w:eastAsia="es-GT"/>
              <w14:ligatures w14:val="standardContextual"/>
            </w:rPr>
          </w:pPr>
          <w:hyperlink w:anchor="_Toc152139328" w:history="1">
            <w:r w:rsidR="00C66BF5" w:rsidRPr="005024AC">
              <w:rPr>
                <w:rStyle w:val="Hipervnculo"/>
                <w:rFonts w:cs="Times New Roman"/>
                <w:noProof/>
              </w:rPr>
              <w:t>4.2</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Aumento de los pasivos como fuente de financiamiento</w:t>
            </w:r>
            <w:r w:rsidR="00C66BF5">
              <w:rPr>
                <w:noProof/>
                <w:webHidden/>
              </w:rPr>
              <w:tab/>
            </w:r>
            <w:r w:rsidR="00C66BF5">
              <w:rPr>
                <w:noProof/>
                <w:webHidden/>
              </w:rPr>
              <w:fldChar w:fldCharType="begin"/>
            </w:r>
            <w:r w:rsidR="00C66BF5">
              <w:rPr>
                <w:noProof/>
                <w:webHidden/>
              </w:rPr>
              <w:instrText xml:space="preserve"> PAGEREF _Toc152139328 \h </w:instrText>
            </w:r>
            <w:r w:rsidR="00C66BF5">
              <w:rPr>
                <w:noProof/>
                <w:webHidden/>
              </w:rPr>
            </w:r>
            <w:r w:rsidR="00C66BF5">
              <w:rPr>
                <w:noProof/>
                <w:webHidden/>
              </w:rPr>
              <w:fldChar w:fldCharType="separate"/>
            </w:r>
            <w:r w:rsidR="00346825">
              <w:rPr>
                <w:noProof/>
                <w:webHidden/>
              </w:rPr>
              <w:t>6</w:t>
            </w:r>
            <w:r w:rsidR="00C66BF5">
              <w:rPr>
                <w:noProof/>
                <w:webHidden/>
              </w:rPr>
              <w:fldChar w:fldCharType="end"/>
            </w:r>
          </w:hyperlink>
        </w:p>
        <w:p w14:paraId="47C8CDAD" w14:textId="27217DDC" w:rsidR="00C66BF5" w:rsidRDefault="00000000">
          <w:pPr>
            <w:pStyle w:val="TDC1"/>
            <w:rPr>
              <w:rFonts w:asciiTheme="minorHAnsi" w:eastAsiaTheme="minorEastAsia" w:hAnsiTheme="minorHAnsi" w:cstheme="minorBidi"/>
              <w:b w:val="0"/>
              <w:bCs w:val="0"/>
              <w:kern w:val="2"/>
              <w:sz w:val="24"/>
              <w:lang w:eastAsia="es-GT"/>
              <w14:ligatures w14:val="standardContextual"/>
            </w:rPr>
          </w:pPr>
          <w:hyperlink w:anchor="_Toc152139329" w:history="1">
            <w:r w:rsidR="00C66BF5" w:rsidRPr="005024AC">
              <w:rPr>
                <w:rStyle w:val="Hipervnculo"/>
                <w:lang w:val="es-ES_tradnl"/>
              </w:rPr>
              <w:t>V.</w:t>
            </w:r>
            <w:r w:rsidR="00C66BF5">
              <w:rPr>
                <w:rFonts w:asciiTheme="minorHAnsi" w:eastAsiaTheme="minorEastAsia" w:hAnsiTheme="minorHAnsi" w:cstheme="minorBidi"/>
                <w:b w:val="0"/>
                <w:bCs w:val="0"/>
                <w:kern w:val="2"/>
                <w:sz w:val="24"/>
                <w:lang w:eastAsia="es-GT"/>
                <w14:ligatures w14:val="standardContextual"/>
              </w:rPr>
              <w:tab/>
            </w:r>
            <w:r w:rsidR="00C66BF5" w:rsidRPr="005024AC">
              <w:rPr>
                <w:rStyle w:val="Hipervnculo"/>
                <w:lang w:val="es-ES_tradnl"/>
              </w:rPr>
              <w:t>Erogaciones del Gobierno Central Presupuestario</w:t>
            </w:r>
            <w:r w:rsidR="00C66BF5">
              <w:rPr>
                <w:webHidden/>
              </w:rPr>
              <w:tab/>
            </w:r>
            <w:r w:rsidR="00C66BF5">
              <w:rPr>
                <w:webHidden/>
              </w:rPr>
              <w:fldChar w:fldCharType="begin"/>
            </w:r>
            <w:r w:rsidR="00C66BF5">
              <w:rPr>
                <w:webHidden/>
              </w:rPr>
              <w:instrText xml:space="preserve"> PAGEREF _Toc152139329 \h </w:instrText>
            </w:r>
            <w:r w:rsidR="00C66BF5">
              <w:rPr>
                <w:webHidden/>
              </w:rPr>
            </w:r>
            <w:r w:rsidR="00C66BF5">
              <w:rPr>
                <w:webHidden/>
              </w:rPr>
              <w:fldChar w:fldCharType="separate"/>
            </w:r>
            <w:r w:rsidR="00346825">
              <w:rPr>
                <w:webHidden/>
              </w:rPr>
              <w:t>7</w:t>
            </w:r>
            <w:r w:rsidR="00C66BF5">
              <w:rPr>
                <w:webHidden/>
              </w:rPr>
              <w:fldChar w:fldCharType="end"/>
            </w:r>
          </w:hyperlink>
        </w:p>
        <w:p w14:paraId="7D87412F" w14:textId="783ED800" w:rsidR="00C66BF5" w:rsidRDefault="00000000">
          <w:pPr>
            <w:pStyle w:val="TDC2"/>
            <w:rPr>
              <w:rFonts w:asciiTheme="minorHAnsi" w:hAnsiTheme="minorHAnsi"/>
              <w:noProof/>
              <w:kern w:val="2"/>
              <w:sz w:val="24"/>
              <w:lang w:eastAsia="es-GT"/>
              <w14:ligatures w14:val="standardContextual"/>
            </w:rPr>
          </w:pPr>
          <w:hyperlink w:anchor="_Toc152139336" w:history="1">
            <w:r w:rsidR="00C66BF5" w:rsidRPr="005024AC">
              <w:rPr>
                <w:rStyle w:val="Hipervnculo"/>
                <w:rFonts w:cs="Times New Roman"/>
                <w:noProof/>
              </w:rPr>
              <w:t>5.1</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Las erogaciones en educación han sido las más dinámicas</w:t>
            </w:r>
            <w:r w:rsidR="00C66BF5">
              <w:rPr>
                <w:noProof/>
                <w:webHidden/>
              </w:rPr>
              <w:tab/>
            </w:r>
            <w:r w:rsidR="00C66BF5">
              <w:rPr>
                <w:noProof/>
                <w:webHidden/>
              </w:rPr>
              <w:fldChar w:fldCharType="begin"/>
            </w:r>
            <w:r w:rsidR="00C66BF5">
              <w:rPr>
                <w:noProof/>
                <w:webHidden/>
              </w:rPr>
              <w:instrText xml:space="preserve"> PAGEREF _Toc152139336 \h </w:instrText>
            </w:r>
            <w:r w:rsidR="00C66BF5">
              <w:rPr>
                <w:noProof/>
                <w:webHidden/>
              </w:rPr>
            </w:r>
            <w:r w:rsidR="00C66BF5">
              <w:rPr>
                <w:noProof/>
                <w:webHidden/>
              </w:rPr>
              <w:fldChar w:fldCharType="separate"/>
            </w:r>
            <w:r w:rsidR="00346825">
              <w:rPr>
                <w:noProof/>
                <w:webHidden/>
              </w:rPr>
              <w:t>7</w:t>
            </w:r>
            <w:r w:rsidR="00C66BF5">
              <w:rPr>
                <w:noProof/>
                <w:webHidden/>
              </w:rPr>
              <w:fldChar w:fldCharType="end"/>
            </w:r>
          </w:hyperlink>
        </w:p>
        <w:p w14:paraId="48DC9206" w14:textId="502D9C36" w:rsidR="00C66BF5" w:rsidRDefault="00000000">
          <w:pPr>
            <w:pStyle w:val="TDC2"/>
            <w:rPr>
              <w:rFonts w:asciiTheme="minorHAnsi" w:hAnsiTheme="minorHAnsi"/>
              <w:noProof/>
              <w:kern w:val="2"/>
              <w:sz w:val="24"/>
              <w:lang w:eastAsia="es-GT"/>
              <w14:ligatures w14:val="standardContextual"/>
            </w:rPr>
          </w:pPr>
          <w:hyperlink w:anchor="_Toc152139337" w:history="1">
            <w:r w:rsidR="00C66BF5" w:rsidRPr="005024AC">
              <w:rPr>
                <w:rStyle w:val="Hipervnculo"/>
                <w:rFonts w:cs="Times New Roman"/>
                <w:noProof/>
              </w:rPr>
              <w:t>5.2</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Ejecución institucional</w:t>
            </w:r>
            <w:r w:rsidR="00C66BF5">
              <w:rPr>
                <w:noProof/>
                <w:webHidden/>
              </w:rPr>
              <w:tab/>
            </w:r>
            <w:r w:rsidR="00C66BF5">
              <w:rPr>
                <w:noProof/>
                <w:webHidden/>
              </w:rPr>
              <w:fldChar w:fldCharType="begin"/>
            </w:r>
            <w:r w:rsidR="00C66BF5">
              <w:rPr>
                <w:noProof/>
                <w:webHidden/>
              </w:rPr>
              <w:instrText xml:space="preserve"> PAGEREF _Toc152139337 \h </w:instrText>
            </w:r>
            <w:r w:rsidR="00C66BF5">
              <w:rPr>
                <w:noProof/>
                <w:webHidden/>
              </w:rPr>
            </w:r>
            <w:r w:rsidR="00C66BF5">
              <w:rPr>
                <w:noProof/>
                <w:webHidden/>
              </w:rPr>
              <w:fldChar w:fldCharType="separate"/>
            </w:r>
            <w:r w:rsidR="00346825">
              <w:rPr>
                <w:noProof/>
                <w:webHidden/>
              </w:rPr>
              <w:t>8</w:t>
            </w:r>
            <w:r w:rsidR="00C66BF5">
              <w:rPr>
                <w:noProof/>
                <w:webHidden/>
              </w:rPr>
              <w:fldChar w:fldCharType="end"/>
            </w:r>
          </w:hyperlink>
        </w:p>
        <w:p w14:paraId="50DAC406" w14:textId="11B7C077" w:rsidR="00C66BF5" w:rsidRDefault="00000000">
          <w:pPr>
            <w:pStyle w:val="TDC1"/>
            <w:rPr>
              <w:rFonts w:asciiTheme="minorHAnsi" w:eastAsiaTheme="minorEastAsia" w:hAnsiTheme="minorHAnsi" w:cstheme="minorBidi"/>
              <w:b w:val="0"/>
              <w:bCs w:val="0"/>
              <w:kern w:val="2"/>
              <w:sz w:val="24"/>
              <w:lang w:eastAsia="es-GT"/>
              <w14:ligatures w14:val="standardContextual"/>
            </w:rPr>
          </w:pPr>
          <w:hyperlink w:anchor="_Toc152139338" w:history="1">
            <w:r w:rsidR="00C66BF5" w:rsidRPr="005024AC">
              <w:rPr>
                <w:rStyle w:val="Hipervnculo"/>
                <w:lang w:val="es-MX"/>
              </w:rPr>
              <w:t>VI.</w:t>
            </w:r>
            <w:r w:rsidR="00C66BF5">
              <w:rPr>
                <w:rFonts w:asciiTheme="minorHAnsi" w:eastAsiaTheme="minorEastAsia" w:hAnsiTheme="minorHAnsi" w:cstheme="minorBidi"/>
                <w:b w:val="0"/>
                <w:bCs w:val="0"/>
                <w:kern w:val="2"/>
                <w:sz w:val="24"/>
                <w:lang w:eastAsia="es-GT"/>
                <w14:ligatures w14:val="standardContextual"/>
              </w:rPr>
              <w:tab/>
            </w:r>
            <w:r w:rsidR="00C66BF5" w:rsidRPr="005024AC">
              <w:rPr>
                <w:rStyle w:val="Hipervnculo"/>
                <w:lang w:val="es-MX"/>
              </w:rPr>
              <w:t>Resultado Fiscal</w:t>
            </w:r>
            <w:r w:rsidR="00C66BF5">
              <w:rPr>
                <w:webHidden/>
              </w:rPr>
              <w:tab/>
            </w:r>
            <w:r w:rsidR="00C66BF5">
              <w:rPr>
                <w:webHidden/>
              </w:rPr>
              <w:fldChar w:fldCharType="begin"/>
            </w:r>
            <w:r w:rsidR="00C66BF5">
              <w:rPr>
                <w:webHidden/>
              </w:rPr>
              <w:instrText xml:space="preserve"> PAGEREF _Toc152139338 \h </w:instrText>
            </w:r>
            <w:r w:rsidR="00C66BF5">
              <w:rPr>
                <w:webHidden/>
              </w:rPr>
            </w:r>
            <w:r w:rsidR="00C66BF5">
              <w:rPr>
                <w:webHidden/>
              </w:rPr>
              <w:fldChar w:fldCharType="separate"/>
            </w:r>
            <w:r w:rsidR="00346825">
              <w:rPr>
                <w:webHidden/>
              </w:rPr>
              <w:t>9</w:t>
            </w:r>
            <w:r w:rsidR="00C66BF5">
              <w:rPr>
                <w:webHidden/>
              </w:rPr>
              <w:fldChar w:fldCharType="end"/>
            </w:r>
          </w:hyperlink>
        </w:p>
        <w:p w14:paraId="739EFDD5" w14:textId="4DEB56A5" w:rsidR="00C66BF5" w:rsidRDefault="00000000">
          <w:pPr>
            <w:pStyle w:val="TDC2"/>
            <w:rPr>
              <w:rFonts w:asciiTheme="minorHAnsi" w:hAnsiTheme="minorHAnsi"/>
              <w:noProof/>
              <w:kern w:val="2"/>
              <w:sz w:val="24"/>
              <w:lang w:eastAsia="es-GT"/>
              <w14:ligatures w14:val="standardContextual"/>
            </w:rPr>
          </w:pPr>
          <w:hyperlink w:anchor="_Toc152139340" w:history="1">
            <w:r w:rsidR="00C66BF5" w:rsidRPr="005024AC">
              <w:rPr>
                <w:rStyle w:val="Hipervnculo"/>
                <w:rFonts w:cs="Times New Roman"/>
                <w:noProof/>
              </w:rPr>
              <w:t>6.1</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Resultado Operativo</w:t>
            </w:r>
            <w:r w:rsidR="00C66BF5">
              <w:rPr>
                <w:noProof/>
                <w:webHidden/>
              </w:rPr>
              <w:tab/>
            </w:r>
            <w:r w:rsidR="00C66BF5">
              <w:rPr>
                <w:noProof/>
                <w:webHidden/>
              </w:rPr>
              <w:fldChar w:fldCharType="begin"/>
            </w:r>
            <w:r w:rsidR="00C66BF5">
              <w:rPr>
                <w:noProof/>
                <w:webHidden/>
              </w:rPr>
              <w:instrText xml:space="preserve"> PAGEREF _Toc152139340 \h </w:instrText>
            </w:r>
            <w:r w:rsidR="00C66BF5">
              <w:rPr>
                <w:noProof/>
                <w:webHidden/>
              </w:rPr>
            </w:r>
            <w:r w:rsidR="00C66BF5">
              <w:rPr>
                <w:noProof/>
                <w:webHidden/>
              </w:rPr>
              <w:fldChar w:fldCharType="separate"/>
            </w:r>
            <w:r w:rsidR="00346825">
              <w:rPr>
                <w:noProof/>
                <w:webHidden/>
              </w:rPr>
              <w:t>9</w:t>
            </w:r>
            <w:r w:rsidR="00C66BF5">
              <w:rPr>
                <w:noProof/>
                <w:webHidden/>
              </w:rPr>
              <w:fldChar w:fldCharType="end"/>
            </w:r>
          </w:hyperlink>
        </w:p>
        <w:p w14:paraId="357CC48C" w14:textId="22691183" w:rsidR="00C66BF5" w:rsidRDefault="00000000">
          <w:pPr>
            <w:pStyle w:val="TDC2"/>
            <w:rPr>
              <w:rFonts w:asciiTheme="minorHAnsi" w:hAnsiTheme="minorHAnsi"/>
              <w:noProof/>
              <w:kern w:val="2"/>
              <w:sz w:val="24"/>
              <w:lang w:eastAsia="es-GT"/>
              <w14:ligatures w14:val="standardContextual"/>
            </w:rPr>
          </w:pPr>
          <w:hyperlink w:anchor="_Toc152139341" w:history="1">
            <w:r w:rsidR="00C66BF5" w:rsidRPr="005024AC">
              <w:rPr>
                <w:rStyle w:val="Hipervnculo"/>
                <w:rFonts w:cs="Times New Roman"/>
                <w:noProof/>
              </w:rPr>
              <w:t>6.2</w:t>
            </w:r>
            <w:r w:rsidR="00C66BF5">
              <w:rPr>
                <w:rFonts w:asciiTheme="minorHAnsi" w:hAnsiTheme="minorHAnsi"/>
                <w:noProof/>
                <w:kern w:val="2"/>
                <w:sz w:val="24"/>
                <w:lang w:eastAsia="es-GT"/>
                <w14:ligatures w14:val="standardContextual"/>
              </w:rPr>
              <w:tab/>
            </w:r>
            <w:r w:rsidR="00C66BF5" w:rsidRPr="005024AC">
              <w:rPr>
                <w:rStyle w:val="Hipervnculo"/>
                <w:rFonts w:cs="Times New Roman"/>
                <w:noProof/>
              </w:rPr>
              <w:t>Endeudamiento Neto</w:t>
            </w:r>
            <w:r w:rsidR="00C66BF5">
              <w:rPr>
                <w:noProof/>
                <w:webHidden/>
              </w:rPr>
              <w:tab/>
            </w:r>
            <w:r w:rsidR="00C66BF5">
              <w:rPr>
                <w:noProof/>
                <w:webHidden/>
              </w:rPr>
              <w:fldChar w:fldCharType="begin"/>
            </w:r>
            <w:r w:rsidR="00C66BF5">
              <w:rPr>
                <w:noProof/>
                <w:webHidden/>
              </w:rPr>
              <w:instrText xml:space="preserve"> PAGEREF _Toc152139341 \h </w:instrText>
            </w:r>
            <w:r w:rsidR="00C66BF5">
              <w:rPr>
                <w:noProof/>
                <w:webHidden/>
              </w:rPr>
            </w:r>
            <w:r w:rsidR="00C66BF5">
              <w:rPr>
                <w:noProof/>
                <w:webHidden/>
              </w:rPr>
              <w:fldChar w:fldCharType="separate"/>
            </w:r>
            <w:r w:rsidR="00346825">
              <w:rPr>
                <w:noProof/>
                <w:webHidden/>
              </w:rPr>
              <w:t>9</w:t>
            </w:r>
            <w:r w:rsidR="00C66BF5">
              <w:rPr>
                <w:noProof/>
                <w:webHidden/>
              </w:rPr>
              <w:fldChar w:fldCharType="end"/>
            </w:r>
          </w:hyperlink>
        </w:p>
        <w:p w14:paraId="5BE2AAB0" w14:textId="0E8D058E" w:rsidR="0032588B" w:rsidRPr="0064135E" w:rsidRDefault="0032588B" w:rsidP="00CD34D6">
          <w:pPr>
            <w:spacing w:line="276" w:lineRule="auto"/>
            <w:rPr>
              <w:rFonts w:cs="Times New Roman"/>
              <w:color w:val="FF0000"/>
            </w:rPr>
          </w:pPr>
          <w:r w:rsidRPr="0064135E">
            <w:rPr>
              <w:rFonts w:cs="Times New Roman"/>
              <w:bCs/>
              <w:color w:val="FF0000"/>
              <w:lang w:val="es-ES"/>
            </w:rPr>
            <w:fldChar w:fldCharType="end"/>
          </w:r>
        </w:p>
      </w:sdtContent>
    </w:sdt>
    <w:p w14:paraId="21BB0213" w14:textId="77777777" w:rsidR="006B58E6" w:rsidRPr="0064135E" w:rsidRDefault="006B58E6" w:rsidP="006B58E6">
      <w:pPr>
        <w:tabs>
          <w:tab w:val="left" w:pos="5490"/>
        </w:tabs>
        <w:spacing w:after="200" w:line="276" w:lineRule="auto"/>
        <w:rPr>
          <w:rFonts w:eastAsiaTheme="majorEastAsia" w:cs="Times New Roman"/>
          <w:b/>
          <w:bCs/>
          <w:szCs w:val="26"/>
        </w:rPr>
      </w:pPr>
      <w:bookmarkStart w:id="0" w:name="_Toc33180541"/>
      <w:r w:rsidRPr="0064135E">
        <w:rPr>
          <w:rFonts w:eastAsiaTheme="majorEastAsia" w:cs="Times New Roman"/>
          <w:b/>
          <w:bCs/>
          <w:szCs w:val="26"/>
        </w:rPr>
        <w:tab/>
      </w:r>
    </w:p>
    <w:p w14:paraId="1E4B481B" w14:textId="5CF023FB" w:rsidR="0041288C" w:rsidRPr="0064135E" w:rsidRDefault="0041288C" w:rsidP="006B58E6">
      <w:pPr>
        <w:tabs>
          <w:tab w:val="left" w:pos="5490"/>
        </w:tabs>
        <w:spacing w:after="200" w:line="276" w:lineRule="auto"/>
        <w:rPr>
          <w:rFonts w:eastAsiaTheme="majorEastAsia" w:cs="Times New Roman"/>
          <w:b/>
          <w:bCs/>
          <w:szCs w:val="26"/>
        </w:rPr>
      </w:pPr>
      <w:r w:rsidRPr="0064135E">
        <w:rPr>
          <w:rFonts w:eastAsiaTheme="majorEastAsia" w:cs="Times New Roman"/>
          <w:szCs w:val="26"/>
        </w:rPr>
        <w:br w:type="page"/>
      </w:r>
    </w:p>
    <w:p w14:paraId="4919E5EF" w14:textId="77777777" w:rsidR="0041288C" w:rsidRPr="0064135E" w:rsidRDefault="0041288C" w:rsidP="00055D08">
      <w:pPr>
        <w:pStyle w:val="Prrafodelista"/>
        <w:ind w:left="0"/>
        <w:outlineLvl w:val="0"/>
        <w:rPr>
          <w:rFonts w:eastAsiaTheme="majorEastAsia" w:cs="Times New Roman"/>
          <w:b/>
          <w:bCs/>
          <w:sz w:val="24"/>
          <w:szCs w:val="26"/>
          <w:lang w:val="es-ES_tradnl" w:eastAsia="es-ES"/>
        </w:rPr>
      </w:pPr>
      <w:bookmarkStart w:id="1" w:name="_Toc152139312"/>
      <w:r w:rsidRPr="0064135E">
        <w:rPr>
          <w:rFonts w:eastAsiaTheme="majorEastAsia" w:cs="Times New Roman"/>
          <w:b/>
          <w:bCs/>
          <w:sz w:val="24"/>
          <w:szCs w:val="26"/>
          <w:lang w:val="es-ES_tradnl" w:eastAsia="es-ES"/>
        </w:rPr>
        <w:lastRenderedPageBreak/>
        <w:t>Introducción</w:t>
      </w:r>
      <w:bookmarkEnd w:id="0"/>
      <w:bookmarkEnd w:id="1"/>
    </w:p>
    <w:p w14:paraId="0196EF86" w14:textId="1C5B5523" w:rsidR="00974B8B" w:rsidRPr="0064135E" w:rsidRDefault="0041288C" w:rsidP="00F55D61">
      <w:pPr>
        <w:rPr>
          <w:lang w:val="es-MX"/>
        </w:rPr>
      </w:pPr>
      <w:r w:rsidRPr="0064135E">
        <w:rPr>
          <w:lang w:val="es-MX"/>
        </w:rPr>
        <w:t xml:space="preserve">A </w:t>
      </w:r>
      <w:r w:rsidR="0060366C" w:rsidRPr="0064135E">
        <w:rPr>
          <w:lang w:val="es-MX"/>
        </w:rPr>
        <w:t>continuación,</w:t>
      </w:r>
      <w:r w:rsidRPr="0064135E">
        <w:rPr>
          <w:lang w:val="es-MX"/>
        </w:rPr>
        <w:t xml:space="preserve"> se presenta </w:t>
      </w:r>
      <w:r w:rsidRPr="0064135E">
        <w:rPr>
          <w:b/>
          <w:bCs/>
          <w:lang w:val="es-MX"/>
        </w:rPr>
        <w:t xml:space="preserve">el </w:t>
      </w:r>
      <w:r w:rsidR="00B71FA0" w:rsidRPr="0064135E">
        <w:rPr>
          <w:b/>
          <w:bCs/>
          <w:lang w:val="es-MX"/>
        </w:rPr>
        <w:t>i</w:t>
      </w:r>
      <w:r w:rsidRPr="0064135E">
        <w:rPr>
          <w:b/>
          <w:bCs/>
          <w:lang w:val="es-MX"/>
        </w:rPr>
        <w:t>nforme</w:t>
      </w:r>
      <w:r w:rsidR="00445193" w:rsidRPr="0064135E">
        <w:rPr>
          <w:b/>
          <w:bCs/>
          <w:lang w:val="es-MX"/>
        </w:rPr>
        <w:t xml:space="preserve"> </w:t>
      </w:r>
      <w:r w:rsidR="005557C8" w:rsidRPr="0064135E">
        <w:rPr>
          <w:b/>
          <w:bCs/>
          <w:lang w:val="es-MX"/>
        </w:rPr>
        <w:t xml:space="preserve">al </w:t>
      </w:r>
      <w:r w:rsidR="00E73D62" w:rsidRPr="0064135E">
        <w:rPr>
          <w:b/>
          <w:bCs/>
          <w:lang w:val="es-MX"/>
        </w:rPr>
        <w:t>tercer</w:t>
      </w:r>
      <w:r w:rsidR="005557C8" w:rsidRPr="0064135E">
        <w:rPr>
          <w:b/>
          <w:bCs/>
          <w:lang w:val="es-MX"/>
        </w:rPr>
        <w:t xml:space="preserve"> trimestre</w:t>
      </w:r>
      <w:r w:rsidR="002E2298" w:rsidRPr="0064135E">
        <w:rPr>
          <w:b/>
          <w:bCs/>
          <w:lang w:val="es-MX"/>
        </w:rPr>
        <w:t xml:space="preserve"> de 20</w:t>
      </w:r>
      <w:r w:rsidR="005557C8" w:rsidRPr="0064135E">
        <w:rPr>
          <w:b/>
          <w:bCs/>
          <w:lang w:val="es-MX"/>
        </w:rPr>
        <w:t>23</w:t>
      </w:r>
      <w:r w:rsidR="002E2298" w:rsidRPr="0064135E">
        <w:rPr>
          <w:lang w:val="es-MX"/>
        </w:rPr>
        <w:t xml:space="preserve">, </w:t>
      </w:r>
      <w:r w:rsidRPr="0064135E">
        <w:rPr>
          <w:lang w:val="es-MX"/>
        </w:rPr>
        <w:t>sobre l</w:t>
      </w:r>
      <w:r w:rsidR="00D63046" w:rsidRPr="0064135E">
        <w:rPr>
          <w:lang w:val="es-MX"/>
        </w:rPr>
        <w:t>a ejecución financiera del gobierno central presupuestario sobre la base de las</w:t>
      </w:r>
      <w:r w:rsidRPr="0064135E">
        <w:rPr>
          <w:lang w:val="es-MX"/>
        </w:rPr>
        <w:t xml:space="preserve"> Estadísticas de las Finanzas Públicas -EFP- el cual contiene los aspectos más relevantes de la evolución de las variables fiscales</w:t>
      </w:r>
      <w:r w:rsidR="00D63046" w:rsidRPr="0064135E">
        <w:rPr>
          <w:lang w:val="es-MX"/>
        </w:rPr>
        <w:t>, así como las</w:t>
      </w:r>
      <w:r w:rsidR="00AA5C09" w:rsidRPr="0064135E">
        <w:rPr>
          <w:lang w:val="es-MX"/>
        </w:rPr>
        <w:t xml:space="preserve"> </w:t>
      </w:r>
      <w:r w:rsidRPr="0064135E">
        <w:rPr>
          <w:lang w:val="es-MX"/>
        </w:rPr>
        <w:t>principales acciones en materia de ingresos, gasto, transacciones en activos y pasivos y las erogaciones por función del Gobierno</w:t>
      </w:r>
      <w:r w:rsidR="004E3572" w:rsidRPr="0064135E">
        <w:rPr>
          <w:lang w:val="es-MX"/>
        </w:rPr>
        <w:t xml:space="preserve">. </w:t>
      </w:r>
    </w:p>
    <w:p w14:paraId="166F9829" w14:textId="77777777" w:rsidR="00974B8B" w:rsidRPr="0064135E" w:rsidRDefault="00974B8B" w:rsidP="00F55D61">
      <w:pPr>
        <w:rPr>
          <w:lang w:val="es-MX"/>
        </w:rPr>
      </w:pPr>
    </w:p>
    <w:p w14:paraId="522D2460" w14:textId="77777777" w:rsidR="0041288C" w:rsidRPr="0064135E" w:rsidRDefault="004E3572" w:rsidP="00F55D61">
      <w:pPr>
        <w:rPr>
          <w:lang w:val="es-MX"/>
        </w:rPr>
      </w:pPr>
      <w:r w:rsidRPr="0064135E">
        <w:rPr>
          <w:lang w:val="es-MX"/>
        </w:rPr>
        <w:t xml:space="preserve">Cabe mencionar que dicha información utiliza los </w:t>
      </w:r>
      <w:r w:rsidR="005F2296" w:rsidRPr="0064135E">
        <w:rPr>
          <w:lang w:val="es-MX"/>
        </w:rPr>
        <w:t>estándares internacionales establecidos en el Manual de Estadísticas de las Finanzas Públicas 2014 -MEFP-</w:t>
      </w:r>
      <w:r w:rsidR="00974B8B" w:rsidRPr="0064135E">
        <w:rPr>
          <w:lang w:val="es-MX"/>
        </w:rPr>
        <w:t xml:space="preserve"> del Fondo Monetario </w:t>
      </w:r>
      <w:r w:rsidR="00F35956" w:rsidRPr="0064135E">
        <w:rPr>
          <w:lang w:val="es-MX"/>
        </w:rPr>
        <w:t xml:space="preserve">Internacional </w:t>
      </w:r>
      <w:r w:rsidR="0041288C" w:rsidRPr="0064135E">
        <w:rPr>
          <w:lang w:val="es-MX"/>
        </w:rPr>
        <w:t>-FMI- por lo que existen diferencias en comparación</w:t>
      </w:r>
      <w:r w:rsidR="00774760" w:rsidRPr="0064135E">
        <w:rPr>
          <w:lang w:val="es-MX"/>
        </w:rPr>
        <w:t xml:space="preserve"> a las cifras que son publicadas </w:t>
      </w:r>
      <w:r w:rsidR="0041288C" w:rsidRPr="0064135E">
        <w:rPr>
          <w:lang w:val="es-MX"/>
        </w:rPr>
        <w:t>utiliza</w:t>
      </w:r>
      <w:r w:rsidR="00774760" w:rsidRPr="0064135E">
        <w:rPr>
          <w:lang w:val="es-MX"/>
        </w:rPr>
        <w:t>ndo</w:t>
      </w:r>
      <w:r w:rsidR="0041288C" w:rsidRPr="0064135E">
        <w:rPr>
          <w:lang w:val="es-MX"/>
        </w:rPr>
        <w:t xml:space="preserve"> la metodología nacional.</w:t>
      </w:r>
      <w:r w:rsidR="00F8714D" w:rsidRPr="0064135E">
        <w:rPr>
          <w:lang w:val="es-MX"/>
        </w:rPr>
        <w:t xml:space="preserve"> </w:t>
      </w:r>
      <w:r w:rsidR="003D1490" w:rsidRPr="0064135E">
        <w:rPr>
          <w:lang w:val="es-MX"/>
        </w:rPr>
        <w:t xml:space="preserve">En caso de cualquier </w:t>
      </w:r>
      <w:r w:rsidR="00FA4254" w:rsidRPr="0064135E">
        <w:rPr>
          <w:lang w:val="es-MX"/>
        </w:rPr>
        <w:t>duda</w:t>
      </w:r>
      <w:r w:rsidR="00E507D9" w:rsidRPr="0064135E">
        <w:rPr>
          <w:lang w:val="es-MX"/>
        </w:rPr>
        <w:t xml:space="preserve"> sobre estas diferencias</w:t>
      </w:r>
      <w:r w:rsidR="002710C2" w:rsidRPr="0064135E">
        <w:rPr>
          <w:lang w:val="es-MX"/>
        </w:rPr>
        <w:t xml:space="preserve">, </w:t>
      </w:r>
      <w:r w:rsidR="00723705" w:rsidRPr="0064135E">
        <w:rPr>
          <w:lang w:val="es-MX"/>
        </w:rPr>
        <w:t xml:space="preserve">se </w:t>
      </w:r>
      <w:r w:rsidR="002710C2" w:rsidRPr="0064135E">
        <w:rPr>
          <w:lang w:val="es-MX"/>
        </w:rPr>
        <w:t xml:space="preserve">puede consultar los documentos de </w:t>
      </w:r>
      <w:r w:rsidR="00C139AC" w:rsidRPr="0064135E">
        <w:rPr>
          <w:lang w:val="es-MX"/>
        </w:rPr>
        <w:t>“</w:t>
      </w:r>
      <w:r w:rsidR="002710C2" w:rsidRPr="0064135E">
        <w:rPr>
          <w:lang w:val="es-MX"/>
        </w:rPr>
        <w:t>Metodología</w:t>
      </w:r>
      <w:r w:rsidR="00C139AC" w:rsidRPr="0064135E">
        <w:rPr>
          <w:lang w:val="es-MX"/>
        </w:rPr>
        <w:t>”</w:t>
      </w:r>
      <w:r w:rsidR="002710C2" w:rsidRPr="0064135E">
        <w:rPr>
          <w:lang w:val="es-MX"/>
        </w:rPr>
        <w:t xml:space="preserve"> y de </w:t>
      </w:r>
      <w:r w:rsidR="00C139AC" w:rsidRPr="0064135E">
        <w:rPr>
          <w:lang w:val="es-MX"/>
        </w:rPr>
        <w:t xml:space="preserve">“Metadatos” </w:t>
      </w:r>
      <w:r w:rsidR="00F42DC5" w:rsidRPr="0064135E">
        <w:rPr>
          <w:lang w:val="es-MX"/>
        </w:rPr>
        <w:t xml:space="preserve">que se encuentran publicados en </w:t>
      </w:r>
      <w:r w:rsidR="00C923AF" w:rsidRPr="0064135E">
        <w:rPr>
          <w:lang w:val="es-MX"/>
        </w:rPr>
        <w:t xml:space="preserve">la </w:t>
      </w:r>
      <w:r w:rsidR="00DB2A3F" w:rsidRPr="0064135E">
        <w:rPr>
          <w:lang w:val="es-MX"/>
        </w:rPr>
        <w:t>página</w:t>
      </w:r>
      <w:r w:rsidR="00F42DC5" w:rsidRPr="0064135E">
        <w:rPr>
          <w:lang w:val="es-MX"/>
        </w:rPr>
        <w:t xml:space="preserve"> web</w:t>
      </w:r>
      <w:r w:rsidR="00C923AF" w:rsidRPr="0064135E">
        <w:rPr>
          <w:lang w:val="es-MX"/>
        </w:rPr>
        <w:t xml:space="preserve"> del Ministerio de Finanzas Públicas</w:t>
      </w:r>
      <w:r w:rsidR="00723705" w:rsidRPr="0064135E">
        <w:rPr>
          <w:lang w:val="es-MX"/>
        </w:rPr>
        <w:t>,</w:t>
      </w:r>
      <w:r w:rsidR="00C923AF" w:rsidRPr="0064135E">
        <w:rPr>
          <w:lang w:val="es-MX"/>
        </w:rPr>
        <w:t xml:space="preserve"> en la sección de “Estadísticas según Estándares Internacionales”</w:t>
      </w:r>
      <w:r w:rsidR="00F42DC5" w:rsidRPr="0064135E">
        <w:rPr>
          <w:lang w:val="es-MX"/>
        </w:rPr>
        <w:t>.</w:t>
      </w:r>
    </w:p>
    <w:p w14:paraId="00D72FA9" w14:textId="77777777" w:rsidR="0099685E" w:rsidRPr="0064135E" w:rsidRDefault="0099685E" w:rsidP="00F55D61">
      <w:pPr>
        <w:rPr>
          <w:lang w:val="es-MX"/>
        </w:rPr>
      </w:pPr>
    </w:p>
    <w:p w14:paraId="13E62E53" w14:textId="35470926" w:rsidR="0099685E" w:rsidRPr="0064135E" w:rsidRDefault="0099685E" w:rsidP="0099685E">
      <w:pPr>
        <w:pStyle w:val="Prrafodelista"/>
        <w:ind w:left="0"/>
        <w:outlineLvl w:val="0"/>
        <w:rPr>
          <w:rFonts w:eastAsiaTheme="majorEastAsia" w:cs="Times New Roman"/>
          <w:b/>
          <w:bCs/>
          <w:sz w:val="24"/>
          <w:szCs w:val="26"/>
          <w:lang w:val="es-ES_tradnl" w:eastAsia="es-ES"/>
        </w:rPr>
      </w:pPr>
      <w:bookmarkStart w:id="2" w:name="_Toc98757132"/>
      <w:bookmarkStart w:id="3" w:name="_Toc117781272"/>
      <w:bookmarkStart w:id="4" w:name="_Toc152139313"/>
      <w:r w:rsidRPr="0064135E">
        <w:rPr>
          <w:rFonts w:eastAsiaTheme="majorEastAsia" w:cs="Times New Roman"/>
          <w:b/>
          <w:bCs/>
          <w:sz w:val="24"/>
          <w:szCs w:val="26"/>
          <w:lang w:val="es-ES_tradnl" w:eastAsia="es-ES"/>
        </w:rPr>
        <w:t>Cambios Metodológicos 202</w:t>
      </w:r>
      <w:bookmarkEnd w:id="2"/>
      <w:bookmarkEnd w:id="3"/>
      <w:r w:rsidRPr="0064135E">
        <w:rPr>
          <w:rFonts w:eastAsiaTheme="majorEastAsia" w:cs="Times New Roman"/>
          <w:b/>
          <w:bCs/>
          <w:sz w:val="24"/>
          <w:szCs w:val="26"/>
          <w:lang w:val="es-ES_tradnl" w:eastAsia="es-ES"/>
        </w:rPr>
        <w:t>3</w:t>
      </w:r>
      <w:bookmarkEnd w:id="4"/>
    </w:p>
    <w:p w14:paraId="008BEC5D" w14:textId="0B9768F9" w:rsidR="0099685E" w:rsidRPr="0064135E" w:rsidRDefault="0099685E" w:rsidP="0099685E">
      <w:pPr>
        <w:rPr>
          <w:lang w:val="es-MX"/>
        </w:rPr>
      </w:pPr>
      <w:r w:rsidRPr="0064135E">
        <w:rPr>
          <w:lang w:val="es-MX"/>
        </w:rPr>
        <w:t>El Ministerio de Finanzas Públicas continua con el proceso de implementación de los estándares internacionales para la generación de las EFP y con el fin de fortalecer a las mismas, se cuenta con el apoyo y supervisión del Centro Regional de Asistencia Técnica del FMI para Centroamérica, Panamá y la República Dominicana -CAPTAC-DR-. En este sentido, cabe mencionar que en noviembre del presente año se llevaron a cabo actualizaciones metodológicas importantes, por lo que el presente documento cuenta con algunas diferencias en las cifras históricas respecto a los informes trimestrales anteriores. Para más información sobre los cambios realizados, se recomienda revisar el documento de metodología y de metadato que se encuentran disponibles en el apartado de Estadísticas según Estándares Internacionales del portal del Ministerio de Finanzas Públicas.</w:t>
      </w:r>
    </w:p>
    <w:p w14:paraId="36D7E7D9" w14:textId="77777777" w:rsidR="0099685E" w:rsidRPr="0064135E" w:rsidRDefault="0099685E" w:rsidP="00F55D61">
      <w:pPr>
        <w:rPr>
          <w:lang w:val="es-MX"/>
        </w:rPr>
      </w:pPr>
    </w:p>
    <w:p w14:paraId="37573775" w14:textId="77777777" w:rsidR="00E66A98" w:rsidRPr="0064135E" w:rsidRDefault="00A52F77" w:rsidP="00E66A98">
      <w:pPr>
        <w:pStyle w:val="Prrafodelista"/>
        <w:numPr>
          <w:ilvl w:val="0"/>
          <w:numId w:val="1"/>
        </w:numPr>
        <w:ind w:left="284" w:hanging="284"/>
        <w:outlineLvl w:val="0"/>
        <w:rPr>
          <w:rFonts w:eastAsiaTheme="majorEastAsia" w:cs="Times New Roman"/>
          <w:b/>
          <w:bCs/>
          <w:sz w:val="24"/>
          <w:szCs w:val="26"/>
          <w:lang w:val="es-ES_tradnl" w:eastAsia="es-ES"/>
        </w:rPr>
      </w:pPr>
      <w:bookmarkStart w:id="5" w:name="_Toc152139314"/>
      <w:r w:rsidRPr="0064135E">
        <w:rPr>
          <w:rFonts w:eastAsiaTheme="majorEastAsia" w:cs="Times New Roman"/>
          <w:b/>
          <w:bCs/>
          <w:sz w:val="24"/>
          <w:szCs w:val="26"/>
          <w:lang w:val="es-ES_tradnl" w:eastAsia="es-ES"/>
        </w:rPr>
        <w:t>Ingresos</w:t>
      </w:r>
      <w:r w:rsidR="00E66A98" w:rsidRPr="0064135E">
        <w:rPr>
          <w:rFonts w:eastAsiaTheme="majorEastAsia" w:cs="Times New Roman"/>
          <w:b/>
          <w:bCs/>
          <w:sz w:val="24"/>
          <w:szCs w:val="26"/>
          <w:lang w:val="es-ES_tradnl" w:eastAsia="es-ES"/>
        </w:rPr>
        <w:t xml:space="preserve"> </w:t>
      </w:r>
      <w:r w:rsidR="00301F9F" w:rsidRPr="0064135E">
        <w:rPr>
          <w:rFonts w:eastAsiaTheme="majorEastAsia" w:cs="Times New Roman"/>
          <w:b/>
          <w:bCs/>
          <w:sz w:val="24"/>
          <w:szCs w:val="26"/>
          <w:lang w:val="es-ES_tradnl" w:eastAsia="es-ES"/>
        </w:rPr>
        <w:t>del Gobierno Central Presupuestario</w:t>
      </w:r>
      <w:bookmarkEnd w:id="5"/>
    </w:p>
    <w:p w14:paraId="27F759C0" w14:textId="60AC2245" w:rsidR="00E66A98" w:rsidRPr="0064135E" w:rsidRDefault="00DB2C33" w:rsidP="002C3755">
      <w:pPr>
        <w:rPr>
          <w:rFonts w:eastAsiaTheme="majorEastAsia"/>
          <w:lang w:val="es-ES_tradnl"/>
        </w:rPr>
      </w:pPr>
      <w:r w:rsidRPr="0064135E">
        <w:rPr>
          <w:rFonts w:eastAsiaTheme="majorEastAsia"/>
          <w:noProof/>
          <w:lang w:eastAsia="es-GT"/>
        </w:rPr>
        <w:drawing>
          <wp:inline distT="0" distB="0" distL="0" distR="0" wp14:anchorId="2394B235" wp14:editId="4043505E">
            <wp:extent cx="5836920" cy="876300"/>
            <wp:effectExtent l="76200" t="38100" r="87630" b="1333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6" w:name="_Toc471986924"/>
      <w:bookmarkStart w:id="7" w:name="_Toc471987059"/>
      <w:bookmarkStart w:id="8" w:name="_Toc471987107"/>
      <w:bookmarkStart w:id="9" w:name="_Toc471987129"/>
      <w:bookmarkStart w:id="10" w:name="_Toc472082158"/>
      <w:bookmarkStart w:id="11" w:name="_Toc472082190"/>
      <w:bookmarkStart w:id="12" w:name="_Toc472089905"/>
      <w:bookmarkStart w:id="13" w:name="_Toc472089928"/>
      <w:bookmarkStart w:id="14" w:name="_Toc505346056"/>
      <w:bookmarkStart w:id="15" w:name="_Toc505349869"/>
      <w:bookmarkStart w:id="16" w:name="_Toc534985827"/>
      <w:bookmarkStart w:id="17" w:name="_Toc534988220"/>
      <w:bookmarkStart w:id="18" w:name="_Toc31611540"/>
      <w:bookmarkStart w:id="19" w:name="_Toc31612756"/>
      <w:bookmarkStart w:id="20" w:name="_Toc31612788"/>
      <w:bookmarkStart w:id="21" w:name="_Toc31614814"/>
      <w:bookmarkStart w:id="22" w:name="_Toc31614846"/>
      <w:bookmarkStart w:id="23" w:name="_Toc31618683"/>
      <w:bookmarkStart w:id="24" w:name="_Toc31618716"/>
      <w:bookmarkStart w:id="25" w:name="_Toc31624492"/>
      <w:bookmarkStart w:id="26" w:name="_Toc31625344"/>
      <w:bookmarkStart w:id="27" w:name="_Toc31626799"/>
      <w:bookmarkStart w:id="28" w:name="_Toc31811250"/>
      <w:bookmarkStart w:id="29" w:name="_Toc31811695"/>
      <w:bookmarkStart w:id="30" w:name="_Toc31971858"/>
      <w:bookmarkStart w:id="31" w:name="_Toc32230880"/>
      <w:bookmarkStart w:id="32" w:name="_Toc33109779"/>
      <w:bookmarkStart w:id="33" w:name="_Toc33109822"/>
      <w:bookmarkStart w:id="34" w:name="_Toc33180543"/>
      <w:bookmarkStart w:id="35" w:name="_Toc33180637"/>
      <w:bookmarkStart w:id="36" w:name="_Toc33193534"/>
      <w:bookmarkStart w:id="37" w:name="_Toc33193573"/>
      <w:bookmarkStart w:id="38" w:name="_Toc33196770"/>
      <w:bookmarkStart w:id="39" w:name="_Toc40691746"/>
      <w:bookmarkStart w:id="40" w:name="_Toc40959149"/>
      <w:bookmarkStart w:id="41" w:name="_Toc40975983"/>
      <w:bookmarkStart w:id="42" w:name="_Toc40976052"/>
      <w:bookmarkStart w:id="43" w:name="_Toc40993307"/>
      <w:bookmarkStart w:id="44" w:name="_Toc40993689"/>
      <w:bookmarkStart w:id="45" w:name="_Toc4103756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73AD0D9" w14:textId="000310B4" w:rsidR="00E66A98" w:rsidRPr="0064135E" w:rsidRDefault="00660AD6"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6" w:name="_Toc152139315"/>
      <w:r w:rsidRPr="0064135E">
        <w:rPr>
          <w:rFonts w:ascii="Times New Roman" w:hAnsi="Times New Roman" w:cs="Times New Roman"/>
          <w:color w:val="auto"/>
          <w:sz w:val="24"/>
        </w:rPr>
        <w:t>L</w:t>
      </w:r>
      <w:r w:rsidR="004D09F5" w:rsidRPr="0064135E">
        <w:rPr>
          <w:rFonts w:ascii="Times New Roman" w:hAnsi="Times New Roman" w:cs="Times New Roman"/>
          <w:color w:val="auto"/>
          <w:sz w:val="24"/>
        </w:rPr>
        <w:t>os</w:t>
      </w:r>
      <w:r w:rsidR="00606599" w:rsidRPr="0064135E">
        <w:rPr>
          <w:rFonts w:ascii="Times New Roman" w:hAnsi="Times New Roman" w:cs="Times New Roman"/>
          <w:color w:val="auto"/>
          <w:sz w:val="24"/>
        </w:rPr>
        <w:t xml:space="preserve"> ingresos </w:t>
      </w:r>
      <w:r w:rsidR="004D09F5" w:rsidRPr="0064135E">
        <w:rPr>
          <w:rFonts w:ascii="Times New Roman" w:hAnsi="Times New Roman" w:cs="Times New Roman"/>
          <w:color w:val="auto"/>
          <w:sz w:val="24"/>
        </w:rPr>
        <w:t xml:space="preserve">fiscales </w:t>
      </w:r>
      <w:r w:rsidRPr="0064135E">
        <w:rPr>
          <w:rFonts w:ascii="Times New Roman" w:hAnsi="Times New Roman" w:cs="Times New Roman"/>
          <w:color w:val="auto"/>
          <w:sz w:val="24"/>
        </w:rPr>
        <w:t xml:space="preserve">continúan </w:t>
      </w:r>
      <w:r w:rsidR="00FE0D14" w:rsidRPr="0064135E">
        <w:rPr>
          <w:rFonts w:ascii="Times New Roman" w:hAnsi="Times New Roman" w:cs="Times New Roman"/>
          <w:color w:val="auto"/>
          <w:sz w:val="24"/>
        </w:rPr>
        <w:t>desacelerándose</w:t>
      </w:r>
      <w:bookmarkEnd w:id="46"/>
    </w:p>
    <w:p w14:paraId="06CC5F36" w14:textId="61C4FAB1" w:rsidR="00397BFE" w:rsidRPr="0064135E" w:rsidRDefault="00397BFE" w:rsidP="00397BFE">
      <w:pPr>
        <w:rPr>
          <w:rFonts w:cs="Times New Roman"/>
          <w:szCs w:val="22"/>
        </w:rPr>
      </w:pPr>
      <w:r w:rsidRPr="0064135E">
        <w:rPr>
          <w:rFonts w:cs="Times New Roman"/>
          <w:noProof/>
          <w:sz w:val="24"/>
          <w:lang w:eastAsia="es-GT"/>
        </w:rPr>
        <w:drawing>
          <wp:anchor distT="0" distB="0" distL="114300" distR="114300" simplePos="0" relativeHeight="251660292" behindDoc="0" locked="0" layoutInCell="1" allowOverlap="1" wp14:anchorId="0E488811" wp14:editId="2BBEFE19">
            <wp:simplePos x="0" y="0"/>
            <wp:positionH relativeFrom="margin">
              <wp:posOffset>20955</wp:posOffset>
            </wp:positionH>
            <wp:positionV relativeFrom="paragraph">
              <wp:posOffset>829310</wp:posOffset>
            </wp:positionV>
            <wp:extent cx="5892165" cy="1885950"/>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47865" w:rsidRPr="0064135E">
        <w:rPr>
          <w:rFonts w:cs="Times New Roman"/>
          <w:szCs w:val="22"/>
        </w:rPr>
        <w:t xml:space="preserve">Los ingresos totales del Gobierno Central Presupuestario </w:t>
      </w:r>
      <w:r w:rsidR="00AF7F04" w:rsidRPr="0064135E">
        <w:rPr>
          <w:rFonts w:cs="Times New Roman"/>
          <w:szCs w:val="22"/>
        </w:rPr>
        <w:t xml:space="preserve">a </w:t>
      </w:r>
      <w:r w:rsidRPr="0064135E">
        <w:rPr>
          <w:rFonts w:cs="Times New Roman"/>
          <w:szCs w:val="22"/>
        </w:rPr>
        <w:t>septiembre</w:t>
      </w:r>
      <w:r w:rsidR="00247865" w:rsidRPr="0064135E">
        <w:rPr>
          <w:rFonts w:cs="Times New Roman"/>
          <w:szCs w:val="22"/>
        </w:rPr>
        <w:t xml:space="preserve"> </w:t>
      </w:r>
      <w:r w:rsidRPr="0064135E">
        <w:rPr>
          <w:rFonts w:cs="Times New Roman"/>
          <w:szCs w:val="22"/>
        </w:rPr>
        <w:t xml:space="preserve">ascienden a </w:t>
      </w:r>
      <w:r w:rsidR="00247865" w:rsidRPr="0064135E">
        <w:rPr>
          <w:rFonts w:cs="Times New Roman"/>
          <w:szCs w:val="22"/>
        </w:rPr>
        <w:t>Q</w:t>
      </w:r>
      <w:r w:rsidRPr="0064135E">
        <w:rPr>
          <w:rFonts w:cs="Times New Roman"/>
          <w:szCs w:val="22"/>
        </w:rPr>
        <w:t>76,907.5</w:t>
      </w:r>
      <w:r w:rsidR="00247865" w:rsidRPr="0064135E">
        <w:rPr>
          <w:rFonts w:cs="Times New Roman"/>
          <w:szCs w:val="22"/>
        </w:rPr>
        <w:t xml:space="preserve"> millones </w:t>
      </w:r>
      <w:r w:rsidR="00491AFC" w:rsidRPr="0064135E">
        <w:rPr>
          <w:rFonts w:cs="Times New Roman"/>
          <w:szCs w:val="22"/>
        </w:rPr>
        <w:t>con</w:t>
      </w:r>
      <w:r w:rsidR="00080DA6" w:rsidRPr="0064135E">
        <w:rPr>
          <w:rFonts w:cs="Times New Roman"/>
          <w:szCs w:val="22"/>
        </w:rPr>
        <w:t xml:space="preserve"> un crecimiento</w:t>
      </w:r>
      <w:r w:rsidR="00EA374B" w:rsidRPr="0064135E">
        <w:rPr>
          <w:rFonts w:cs="Times New Roman"/>
          <w:szCs w:val="22"/>
        </w:rPr>
        <w:t xml:space="preserve"> interanual</w:t>
      </w:r>
      <w:r w:rsidR="00080DA6" w:rsidRPr="0064135E">
        <w:rPr>
          <w:rFonts w:cs="Times New Roman"/>
          <w:szCs w:val="22"/>
        </w:rPr>
        <w:t xml:space="preserve"> del 9.</w:t>
      </w:r>
      <w:r w:rsidRPr="0064135E">
        <w:rPr>
          <w:rFonts w:cs="Times New Roman"/>
          <w:szCs w:val="22"/>
        </w:rPr>
        <w:t>2</w:t>
      </w:r>
      <w:r w:rsidR="00080DA6" w:rsidRPr="0064135E">
        <w:rPr>
          <w:rFonts w:cs="Times New Roman"/>
          <w:szCs w:val="22"/>
        </w:rPr>
        <w:t xml:space="preserve">% </w:t>
      </w:r>
      <w:r w:rsidR="00247865" w:rsidRPr="0064135E">
        <w:rPr>
          <w:rFonts w:cs="Times New Roman"/>
          <w:szCs w:val="22"/>
        </w:rPr>
        <w:t>(Q</w:t>
      </w:r>
      <w:r w:rsidRPr="0064135E">
        <w:rPr>
          <w:rFonts w:cs="Times New Roman"/>
          <w:szCs w:val="22"/>
        </w:rPr>
        <w:t>6,492.6</w:t>
      </w:r>
      <w:r w:rsidR="001C1D66" w:rsidRPr="0064135E">
        <w:rPr>
          <w:rFonts w:cs="Times New Roman"/>
          <w:szCs w:val="22"/>
        </w:rPr>
        <w:t xml:space="preserve"> </w:t>
      </w:r>
      <w:r w:rsidR="00247865" w:rsidRPr="0064135E">
        <w:rPr>
          <w:rFonts w:cs="Times New Roman"/>
          <w:szCs w:val="22"/>
        </w:rPr>
        <w:t>millones)</w:t>
      </w:r>
      <w:r w:rsidR="00C442F2" w:rsidRPr="0064135E">
        <w:rPr>
          <w:rFonts w:cs="Times New Roman"/>
          <w:szCs w:val="22"/>
        </w:rPr>
        <w:t>.</w:t>
      </w:r>
      <w:r w:rsidRPr="0064135E">
        <w:rPr>
          <w:rFonts w:cs="Times New Roman"/>
          <w:szCs w:val="22"/>
        </w:rPr>
        <w:t xml:space="preserve"> El mayor crecimiento proviene de los impuestos con una variación del </w:t>
      </w:r>
      <w:r w:rsidR="00491AFC" w:rsidRPr="0064135E">
        <w:rPr>
          <w:rFonts w:cs="Times New Roman"/>
          <w:szCs w:val="22"/>
        </w:rPr>
        <w:t>8</w:t>
      </w:r>
      <w:r w:rsidRPr="0064135E">
        <w:rPr>
          <w:rFonts w:cs="Times New Roman"/>
          <w:szCs w:val="22"/>
        </w:rPr>
        <w:t>.</w:t>
      </w:r>
      <w:r w:rsidR="00491AFC" w:rsidRPr="0064135E">
        <w:rPr>
          <w:rFonts w:cs="Times New Roman"/>
          <w:szCs w:val="22"/>
        </w:rPr>
        <w:t>3</w:t>
      </w:r>
      <w:r w:rsidRPr="0064135E">
        <w:rPr>
          <w:rFonts w:cs="Times New Roman"/>
          <w:szCs w:val="22"/>
        </w:rPr>
        <w:t>% (Q</w:t>
      </w:r>
      <w:r w:rsidR="00491AFC" w:rsidRPr="0064135E">
        <w:rPr>
          <w:rFonts w:cs="Times New Roman"/>
          <w:szCs w:val="22"/>
        </w:rPr>
        <w:t>5,331.0</w:t>
      </w:r>
      <w:r w:rsidRPr="0064135E">
        <w:rPr>
          <w:rFonts w:cs="Times New Roman"/>
          <w:szCs w:val="22"/>
        </w:rPr>
        <w:t xml:space="preserve"> millones) seguido de las contribuciones sociales </w:t>
      </w:r>
      <w:r w:rsidR="00491AFC" w:rsidRPr="0064135E">
        <w:rPr>
          <w:rFonts w:cs="Times New Roman"/>
          <w:szCs w:val="22"/>
        </w:rPr>
        <w:t xml:space="preserve">con </w:t>
      </w:r>
      <w:r w:rsidRPr="0064135E">
        <w:rPr>
          <w:rFonts w:cs="Times New Roman"/>
          <w:szCs w:val="22"/>
        </w:rPr>
        <w:t xml:space="preserve">el </w:t>
      </w:r>
      <w:r w:rsidR="00491AFC" w:rsidRPr="0064135E">
        <w:rPr>
          <w:rFonts w:cs="Times New Roman"/>
          <w:szCs w:val="22"/>
        </w:rPr>
        <w:t>17.4</w:t>
      </w:r>
      <w:r w:rsidRPr="0064135E">
        <w:rPr>
          <w:rFonts w:cs="Times New Roman"/>
          <w:szCs w:val="22"/>
        </w:rPr>
        <w:t>% (Q</w:t>
      </w:r>
      <w:r w:rsidR="00491AFC" w:rsidRPr="0064135E">
        <w:rPr>
          <w:rFonts w:cs="Times New Roman"/>
          <w:szCs w:val="22"/>
        </w:rPr>
        <w:t>671.1</w:t>
      </w:r>
      <w:r w:rsidRPr="0064135E">
        <w:rPr>
          <w:rFonts w:cs="Times New Roman"/>
          <w:szCs w:val="22"/>
        </w:rPr>
        <w:t xml:space="preserve"> millones), </w:t>
      </w:r>
      <w:r w:rsidR="00491AFC" w:rsidRPr="0064135E">
        <w:rPr>
          <w:rFonts w:cs="Times New Roman"/>
          <w:szCs w:val="22"/>
        </w:rPr>
        <w:t xml:space="preserve">los </w:t>
      </w:r>
      <w:r w:rsidRPr="0064135E">
        <w:rPr>
          <w:rFonts w:cs="Times New Roman"/>
          <w:szCs w:val="22"/>
        </w:rPr>
        <w:t xml:space="preserve">otros ingresos </w:t>
      </w:r>
      <w:r w:rsidR="00491AFC" w:rsidRPr="0064135E">
        <w:rPr>
          <w:rFonts w:cs="Times New Roman"/>
          <w:szCs w:val="22"/>
        </w:rPr>
        <w:t>crecieron en 26.3</w:t>
      </w:r>
      <w:r w:rsidRPr="0064135E">
        <w:rPr>
          <w:rFonts w:cs="Times New Roman"/>
          <w:szCs w:val="22"/>
        </w:rPr>
        <w:t>.2% (Q</w:t>
      </w:r>
      <w:r w:rsidR="00491AFC" w:rsidRPr="0064135E">
        <w:rPr>
          <w:rFonts w:cs="Times New Roman"/>
          <w:szCs w:val="22"/>
        </w:rPr>
        <w:t>547.0</w:t>
      </w:r>
      <w:r w:rsidRPr="0064135E">
        <w:rPr>
          <w:rFonts w:cs="Times New Roman"/>
          <w:szCs w:val="22"/>
        </w:rPr>
        <w:t xml:space="preserve"> millones) y las donaciones </w:t>
      </w:r>
      <w:r w:rsidR="00491AFC" w:rsidRPr="0064135E">
        <w:rPr>
          <w:rFonts w:cs="Times New Roman"/>
          <w:szCs w:val="22"/>
        </w:rPr>
        <w:t>son los únicos que han</w:t>
      </w:r>
      <w:r w:rsidRPr="0064135E">
        <w:rPr>
          <w:rFonts w:cs="Times New Roman"/>
          <w:szCs w:val="22"/>
        </w:rPr>
        <w:t xml:space="preserve"> </w:t>
      </w:r>
      <w:r w:rsidR="00491AFC" w:rsidRPr="0064135E">
        <w:rPr>
          <w:rFonts w:cs="Times New Roman"/>
          <w:szCs w:val="22"/>
        </w:rPr>
        <w:t>mostrado</w:t>
      </w:r>
      <w:r w:rsidRPr="0064135E">
        <w:rPr>
          <w:rFonts w:cs="Times New Roman"/>
          <w:szCs w:val="22"/>
        </w:rPr>
        <w:t xml:space="preserve"> una disminución, siendo esta del </w:t>
      </w:r>
      <w:r w:rsidR="00491AFC" w:rsidRPr="0064135E">
        <w:rPr>
          <w:rFonts w:cs="Times New Roman"/>
          <w:szCs w:val="22"/>
        </w:rPr>
        <w:t>60</w:t>
      </w:r>
      <w:r w:rsidRPr="0064135E">
        <w:rPr>
          <w:rFonts w:cs="Times New Roman"/>
          <w:szCs w:val="22"/>
        </w:rPr>
        <w:t>.</w:t>
      </w:r>
      <w:r w:rsidR="00491AFC" w:rsidRPr="0064135E">
        <w:rPr>
          <w:rFonts w:cs="Times New Roman"/>
          <w:szCs w:val="22"/>
        </w:rPr>
        <w:t>6</w:t>
      </w:r>
      <w:r w:rsidRPr="0064135E">
        <w:rPr>
          <w:rFonts w:cs="Times New Roman"/>
          <w:szCs w:val="22"/>
        </w:rPr>
        <w:t>% (Q</w:t>
      </w:r>
      <w:r w:rsidR="00491AFC" w:rsidRPr="0064135E">
        <w:rPr>
          <w:rFonts w:cs="Times New Roman"/>
          <w:szCs w:val="22"/>
        </w:rPr>
        <w:t>56</w:t>
      </w:r>
      <w:r w:rsidRPr="0064135E">
        <w:rPr>
          <w:rFonts w:cs="Times New Roman"/>
          <w:szCs w:val="22"/>
        </w:rPr>
        <w:t>.</w:t>
      </w:r>
      <w:r w:rsidR="00491AFC" w:rsidRPr="0064135E">
        <w:rPr>
          <w:rFonts w:cs="Times New Roman"/>
          <w:szCs w:val="22"/>
        </w:rPr>
        <w:t>5</w:t>
      </w:r>
      <w:r w:rsidRPr="0064135E">
        <w:rPr>
          <w:rFonts w:cs="Times New Roman"/>
          <w:szCs w:val="22"/>
        </w:rPr>
        <w:t xml:space="preserve"> millones).</w:t>
      </w:r>
    </w:p>
    <w:p w14:paraId="3C8D73F7" w14:textId="79C508A9" w:rsidR="00D550B4" w:rsidRPr="0064135E" w:rsidRDefault="00D550B4" w:rsidP="000245CA">
      <w:pPr>
        <w:rPr>
          <w:rFonts w:cs="Times New Roman"/>
          <w:szCs w:val="22"/>
        </w:rPr>
      </w:pPr>
      <w:r w:rsidRPr="0064135E">
        <w:rPr>
          <w:noProof/>
          <w:lang w:eastAsia="es-GT"/>
        </w:rPr>
        <w:lastRenderedPageBreak/>
        <w:drawing>
          <wp:inline distT="0" distB="0" distL="0" distR="0" wp14:anchorId="0B894B39" wp14:editId="3D6F05F1">
            <wp:extent cx="5971540" cy="1711234"/>
            <wp:effectExtent l="0" t="0" r="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69E6E" w14:textId="77777777" w:rsidR="00D550B4" w:rsidRPr="0064135E" w:rsidRDefault="00D550B4" w:rsidP="00672DC7">
      <w:pPr>
        <w:pStyle w:val="Prrafodelista"/>
        <w:ind w:left="0"/>
        <w:jc w:val="right"/>
      </w:pPr>
      <w:r w:rsidRPr="0064135E">
        <w:t>*Cifras preliminares</w:t>
      </w:r>
    </w:p>
    <w:p w14:paraId="28189151" w14:textId="7E747C45" w:rsidR="00D550B4" w:rsidRPr="0064135E" w:rsidRDefault="00D550B4" w:rsidP="00672DC7">
      <w:pPr>
        <w:pStyle w:val="Prrafodelista"/>
        <w:ind w:left="0"/>
        <w:jc w:val="right"/>
      </w:pPr>
      <w:r w:rsidRPr="0064135E">
        <w:t xml:space="preserve"> Fuente: MINFIN</w:t>
      </w:r>
    </w:p>
    <w:p w14:paraId="7B785F6C" w14:textId="687C07EB" w:rsidR="002E7740" w:rsidRPr="0064135E" w:rsidRDefault="004D09F5" w:rsidP="002E7740">
      <w:pPr>
        <w:pStyle w:val="Ttulo2"/>
        <w:numPr>
          <w:ilvl w:val="1"/>
          <w:numId w:val="11"/>
        </w:numPr>
        <w:tabs>
          <w:tab w:val="left" w:pos="426"/>
        </w:tabs>
        <w:spacing w:before="0"/>
        <w:ind w:left="284" w:hanging="284"/>
        <w:rPr>
          <w:rFonts w:ascii="Times New Roman" w:hAnsi="Times New Roman" w:cs="Times New Roman"/>
          <w:color w:val="auto"/>
          <w:sz w:val="24"/>
        </w:rPr>
      </w:pPr>
      <w:bookmarkStart w:id="47" w:name="_Toc152139316"/>
      <w:r w:rsidRPr="0064135E">
        <w:rPr>
          <w:rFonts w:ascii="Times New Roman" w:hAnsi="Times New Roman" w:cs="Times New Roman"/>
          <w:color w:val="auto"/>
          <w:sz w:val="24"/>
        </w:rPr>
        <w:t xml:space="preserve">La recaudación </w:t>
      </w:r>
      <w:r w:rsidR="00413575" w:rsidRPr="0064135E">
        <w:rPr>
          <w:rFonts w:ascii="Times New Roman" w:hAnsi="Times New Roman" w:cs="Times New Roman"/>
          <w:color w:val="auto"/>
          <w:sz w:val="24"/>
        </w:rPr>
        <w:t>crece a menor ritmo</w:t>
      </w:r>
      <w:bookmarkEnd w:id="47"/>
    </w:p>
    <w:p w14:paraId="1DCE054E" w14:textId="2C495BBB" w:rsidR="008F3637" w:rsidRPr="0064135E" w:rsidRDefault="00A31919" w:rsidP="00D04A8B">
      <w:r w:rsidRPr="0064135E">
        <w:rPr>
          <w:noProof/>
          <w:lang w:eastAsia="es-GT"/>
        </w:rPr>
        <w:drawing>
          <wp:anchor distT="0" distB="0" distL="114300" distR="114300" simplePos="0" relativeHeight="251665412" behindDoc="0" locked="0" layoutInCell="1" allowOverlap="1" wp14:anchorId="1026A945" wp14:editId="6FCD5B9A">
            <wp:simplePos x="0" y="0"/>
            <wp:positionH relativeFrom="margin">
              <wp:posOffset>3188335</wp:posOffset>
            </wp:positionH>
            <wp:positionV relativeFrom="paragraph">
              <wp:posOffset>8890</wp:posOffset>
            </wp:positionV>
            <wp:extent cx="2780030" cy="4286250"/>
            <wp:effectExtent l="0" t="0" r="127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46CDF" w:rsidRPr="0064135E">
        <w:t xml:space="preserve">El finalizar el tercer trimestre del año, </w:t>
      </w:r>
      <w:r w:rsidR="00FB2215" w:rsidRPr="0064135E">
        <w:t xml:space="preserve">los impuestos ascienden a </w:t>
      </w:r>
      <w:r w:rsidR="00D04A8B" w:rsidRPr="0064135E">
        <w:t>Q</w:t>
      </w:r>
      <w:r w:rsidR="007B21CB" w:rsidRPr="0064135E">
        <w:t>69,719.9</w:t>
      </w:r>
      <w:r w:rsidR="0033743E" w:rsidRPr="0064135E">
        <w:t xml:space="preserve"> </w:t>
      </w:r>
      <w:r w:rsidR="00D04A8B" w:rsidRPr="0064135E">
        <w:t>millones</w:t>
      </w:r>
      <w:r w:rsidR="007B21CB" w:rsidRPr="0064135E">
        <w:t xml:space="preserve">, siendo </w:t>
      </w:r>
      <w:r w:rsidR="0033743E" w:rsidRPr="0064135E">
        <w:t>un crecimiento del</w:t>
      </w:r>
      <w:r w:rsidR="00D04A8B" w:rsidRPr="0064135E">
        <w:t xml:space="preserve"> </w:t>
      </w:r>
      <w:r w:rsidR="007B21CB" w:rsidRPr="0064135E">
        <w:t>8.3</w:t>
      </w:r>
      <w:r w:rsidR="00D04A8B" w:rsidRPr="0064135E">
        <w:t>% (Q</w:t>
      </w:r>
      <w:r w:rsidR="007B21CB" w:rsidRPr="0064135E">
        <w:t>5,331.0</w:t>
      </w:r>
      <w:r w:rsidR="001375B4" w:rsidRPr="0064135E">
        <w:t xml:space="preserve"> </w:t>
      </w:r>
      <w:r w:rsidR="00D04A8B" w:rsidRPr="0064135E">
        <w:t xml:space="preserve">millones) respecto al mismo periodo del año previo. </w:t>
      </w:r>
    </w:p>
    <w:p w14:paraId="500F9FFF" w14:textId="7A0A20CA" w:rsidR="008F3637" w:rsidRPr="0064135E" w:rsidRDefault="008F3637" w:rsidP="00D04A8B"/>
    <w:p w14:paraId="63E7CE01" w14:textId="38600DFC" w:rsidR="00260D4E" w:rsidRPr="0064135E" w:rsidRDefault="00260D4E" w:rsidP="00260D4E">
      <w:r w:rsidRPr="0064135E">
        <w:t>Los impuestos sobre el ingreso, las utilidades y las ganancias de capital son los que han experimentado un mayor crecimiento, situándose en Q25,930.2 millones con una variación del 11.7% (Q2,706.2 millones) de los cuales el impuesto aplicado a sociedades y otras empresas es el que se incrementó en 11.9% (Q2,423.6 millones) y los asociados a personas físicas por 10.1% (Q283.0 millones).</w:t>
      </w:r>
    </w:p>
    <w:p w14:paraId="24430AC9" w14:textId="77777777" w:rsidR="00260D4E" w:rsidRPr="0064135E" w:rsidRDefault="00260D4E" w:rsidP="00260D4E"/>
    <w:p w14:paraId="7FAD3A32" w14:textId="415F811B" w:rsidR="00F65163" w:rsidRPr="0064135E" w:rsidRDefault="00D04A8B" w:rsidP="00D04A8B">
      <w:r w:rsidRPr="0064135E">
        <w:t xml:space="preserve">Los impuestos </w:t>
      </w:r>
      <w:r w:rsidR="00EC3353" w:rsidRPr="0064135E">
        <w:t>s</w:t>
      </w:r>
      <w:r w:rsidR="00F65163" w:rsidRPr="0064135E">
        <w:t>obre</w:t>
      </w:r>
      <w:r w:rsidR="00FF7BCC">
        <w:t xml:space="preserve"> los</w:t>
      </w:r>
      <w:r w:rsidR="00F65163" w:rsidRPr="0064135E">
        <w:t xml:space="preserve"> bienes y servicios </w:t>
      </w:r>
      <w:r w:rsidR="00260D4E" w:rsidRPr="0064135E">
        <w:t>han sido los segundos con mayor crecimiento al tercer trimestre, mostrando una recaudación de</w:t>
      </w:r>
      <w:r w:rsidR="00F65163" w:rsidRPr="0064135E">
        <w:t xml:space="preserve"> Q</w:t>
      </w:r>
      <w:r w:rsidR="00260D4E" w:rsidRPr="0064135E">
        <w:t>40,101.2</w:t>
      </w:r>
      <w:r w:rsidR="001D7269" w:rsidRPr="0064135E">
        <w:t xml:space="preserve"> millones y una tasa de variación del </w:t>
      </w:r>
      <w:r w:rsidR="00260D4E" w:rsidRPr="0064135E">
        <w:t>6.4%</w:t>
      </w:r>
      <w:r w:rsidR="001D7269" w:rsidRPr="0064135E">
        <w:t xml:space="preserve"> (Q</w:t>
      </w:r>
      <w:r w:rsidR="00260D4E" w:rsidRPr="0064135E">
        <w:t>2,429.3</w:t>
      </w:r>
      <w:r w:rsidR="001D7269" w:rsidRPr="0064135E">
        <w:t xml:space="preserve"> millones)</w:t>
      </w:r>
      <w:r w:rsidR="00063DE1" w:rsidRPr="0064135E">
        <w:t xml:space="preserve">. </w:t>
      </w:r>
      <w:r w:rsidR="00260D4E" w:rsidRPr="0064135E">
        <w:t>E</w:t>
      </w:r>
      <w:r w:rsidR="0029018F" w:rsidRPr="0064135E">
        <w:t>l</w:t>
      </w:r>
      <w:r w:rsidR="00260D4E" w:rsidRPr="0064135E">
        <w:t xml:space="preserve"> impuesto</w:t>
      </w:r>
      <w:r w:rsidR="004E0A5E" w:rsidRPr="0064135E">
        <w:t xml:space="preserve"> m</w:t>
      </w:r>
      <w:r w:rsidR="00464390" w:rsidRPr="0064135E">
        <w:t xml:space="preserve">ás </w:t>
      </w:r>
      <w:r w:rsidR="004E0A5E" w:rsidRPr="0064135E">
        <w:t>significativo</w:t>
      </w:r>
      <w:r w:rsidR="00260D4E" w:rsidRPr="0064135E">
        <w:t xml:space="preserve"> en esta categoría</w:t>
      </w:r>
      <w:r w:rsidR="004E0A5E" w:rsidRPr="0064135E">
        <w:t xml:space="preserve"> es el IVA</w:t>
      </w:r>
      <w:r w:rsidR="003126EA" w:rsidRPr="0064135E">
        <w:t xml:space="preserve"> </w:t>
      </w:r>
      <w:r w:rsidR="00260D4E" w:rsidRPr="0064135E">
        <w:t xml:space="preserve">el cual asciende a </w:t>
      </w:r>
      <w:r w:rsidR="003126EA" w:rsidRPr="0064135E">
        <w:t>Q</w:t>
      </w:r>
      <w:r w:rsidR="00260D4E" w:rsidRPr="0064135E">
        <w:t>33,106.8</w:t>
      </w:r>
      <w:r w:rsidR="003126EA" w:rsidRPr="0064135E">
        <w:t xml:space="preserve"> millones</w:t>
      </w:r>
      <w:r w:rsidR="000C150A">
        <w:t>, mostrando un</w:t>
      </w:r>
      <w:r w:rsidR="00260D4E" w:rsidRPr="0064135E">
        <w:t xml:space="preserve"> crecimiento</w:t>
      </w:r>
      <w:r w:rsidR="000C150A">
        <w:t xml:space="preserve"> interanual</w:t>
      </w:r>
      <w:r w:rsidR="00260D4E" w:rsidRPr="0064135E">
        <w:t xml:space="preserve"> </w:t>
      </w:r>
      <w:r w:rsidR="003126EA" w:rsidRPr="0064135E">
        <w:t xml:space="preserve">del </w:t>
      </w:r>
      <w:r w:rsidR="00260D4E" w:rsidRPr="0064135E">
        <w:t>5.9</w:t>
      </w:r>
      <w:r w:rsidR="003126EA" w:rsidRPr="0064135E">
        <w:t>% (Q</w:t>
      </w:r>
      <w:r w:rsidR="00260D4E" w:rsidRPr="0064135E">
        <w:t>1,842.8</w:t>
      </w:r>
      <w:r w:rsidR="004A0AA8" w:rsidRPr="0064135E">
        <w:t xml:space="preserve"> millones)</w:t>
      </w:r>
      <w:r w:rsidR="00C47615" w:rsidRPr="0064135E">
        <w:t>.</w:t>
      </w:r>
      <w:r w:rsidR="00622FC4" w:rsidRPr="0064135E">
        <w:t xml:space="preserve"> </w:t>
      </w:r>
      <w:r w:rsidR="0052502E" w:rsidRPr="0064135E">
        <w:t xml:space="preserve">En cuanto a </w:t>
      </w:r>
      <w:r w:rsidR="00622FC4" w:rsidRPr="0064135E">
        <w:t>los impuestos selectivos</w:t>
      </w:r>
      <w:r w:rsidR="0052502E" w:rsidRPr="0064135E">
        <w:t xml:space="preserve">, la recaudación asciende a </w:t>
      </w:r>
      <w:r w:rsidR="00840DCD" w:rsidRPr="0064135E">
        <w:t>Q</w:t>
      </w:r>
      <w:r w:rsidR="0052502E" w:rsidRPr="0064135E">
        <w:t>4,534.4</w:t>
      </w:r>
      <w:r w:rsidR="00840DCD" w:rsidRPr="0064135E">
        <w:t xml:space="preserve"> </w:t>
      </w:r>
      <w:r w:rsidR="00DD556F" w:rsidRPr="0064135E">
        <w:t>millones</w:t>
      </w:r>
      <w:r w:rsidR="000C150A">
        <w:t>,</w:t>
      </w:r>
      <w:r w:rsidR="00DD556F" w:rsidRPr="0064135E">
        <w:t xml:space="preserve"> con</w:t>
      </w:r>
      <w:r w:rsidR="00840DCD" w:rsidRPr="0064135E">
        <w:t xml:space="preserve"> un crecimiento de 6.</w:t>
      </w:r>
      <w:r w:rsidR="0052502E" w:rsidRPr="0064135E">
        <w:t>2</w:t>
      </w:r>
      <w:r w:rsidR="00840DCD" w:rsidRPr="0064135E">
        <w:t>% (Q</w:t>
      </w:r>
      <w:r w:rsidR="0052502E" w:rsidRPr="0064135E">
        <w:t>263.9</w:t>
      </w:r>
      <w:r w:rsidR="00706330" w:rsidRPr="0064135E">
        <w:t xml:space="preserve"> millones)</w:t>
      </w:r>
      <w:r w:rsidR="00FF7BCC">
        <w:t>,</w:t>
      </w:r>
      <w:r w:rsidR="0052502E" w:rsidRPr="0064135E">
        <w:t xml:space="preserve"> mientras que </w:t>
      </w:r>
      <w:r w:rsidR="00706330" w:rsidRPr="0064135E">
        <w:t>los impuestos sobre el uso de bienes y sobre el permiso para usar bienes</w:t>
      </w:r>
      <w:r w:rsidR="0052502E" w:rsidRPr="0064135E">
        <w:t xml:space="preserve"> muestra </w:t>
      </w:r>
      <w:r w:rsidR="00706330" w:rsidRPr="0064135E">
        <w:t xml:space="preserve">una recaudación de </w:t>
      </w:r>
      <w:r w:rsidR="000F2791" w:rsidRPr="0064135E">
        <w:t>Q</w:t>
      </w:r>
      <w:r w:rsidR="0052502E" w:rsidRPr="0064135E">
        <w:t>2,459.9</w:t>
      </w:r>
      <w:r w:rsidR="000F2791" w:rsidRPr="0064135E">
        <w:t xml:space="preserve"> millones </w:t>
      </w:r>
      <w:r w:rsidR="0052502E" w:rsidRPr="0064135E">
        <w:t>con</w:t>
      </w:r>
      <w:r w:rsidR="00464390" w:rsidRPr="0064135E">
        <w:t xml:space="preserve"> </w:t>
      </w:r>
      <w:r w:rsidR="000F2791" w:rsidRPr="0064135E">
        <w:t>un crecimiento de</w:t>
      </w:r>
      <w:r w:rsidR="0052502E" w:rsidRPr="0064135E">
        <w:t>l</w:t>
      </w:r>
      <w:r w:rsidR="000F2791" w:rsidRPr="0064135E">
        <w:t xml:space="preserve"> </w:t>
      </w:r>
      <w:r w:rsidR="0052502E" w:rsidRPr="0064135E">
        <w:t>15.1</w:t>
      </w:r>
      <w:r w:rsidR="000F2791" w:rsidRPr="0064135E">
        <w:t>% (Q</w:t>
      </w:r>
      <w:r w:rsidR="0052502E" w:rsidRPr="0064135E">
        <w:t>322.5</w:t>
      </w:r>
      <w:r w:rsidR="000F2791" w:rsidRPr="0064135E">
        <w:t xml:space="preserve"> millones)</w:t>
      </w:r>
      <w:r w:rsidR="00F120A9" w:rsidRPr="0064135E">
        <w:t>.</w:t>
      </w:r>
    </w:p>
    <w:p w14:paraId="661DABFF" w14:textId="77777777" w:rsidR="00F65163" w:rsidRPr="0064135E" w:rsidRDefault="00F65163" w:rsidP="00D04A8B"/>
    <w:p w14:paraId="6521FD85" w14:textId="71105E0C" w:rsidR="00A6565E" w:rsidRPr="0064135E" w:rsidRDefault="0052502E" w:rsidP="00F67E17">
      <w:r w:rsidRPr="0064135E">
        <w:t xml:space="preserve">Los </w:t>
      </w:r>
      <w:r w:rsidR="00D04A8B" w:rsidRPr="0064135E">
        <w:t>impuestos aplicados al comercio y las transacciones internacionales se situaron en Q</w:t>
      </w:r>
      <w:r w:rsidRPr="0064135E">
        <w:t>3,230.2</w:t>
      </w:r>
      <w:r w:rsidR="004F6359" w:rsidRPr="0064135E">
        <w:t xml:space="preserve"> millones</w:t>
      </w:r>
      <w:r w:rsidR="000C150A">
        <w:t>,</w:t>
      </w:r>
      <w:r w:rsidR="0094568C" w:rsidRPr="0064135E">
        <w:t xml:space="preserve"> mostrando un crecimiento del </w:t>
      </w:r>
      <w:r w:rsidRPr="0064135E">
        <w:t>6.7</w:t>
      </w:r>
      <w:r w:rsidR="00FF7BCC">
        <w:t>%</w:t>
      </w:r>
      <w:r w:rsidR="0094568C" w:rsidRPr="0064135E">
        <w:t xml:space="preserve"> (</w:t>
      </w:r>
      <w:r w:rsidR="004F6359" w:rsidRPr="0064135E">
        <w:t>Q</w:t>
      </w:r>
      <w:r w:rsidRPr="0064135E">
        <w:t>203.0</w:t>
      </w:r>
      <w:r w:rsidR="004F6359" w:rsidRPr="0064135E">
        <w:t xml:space="preserve"> millones)</w:t>
      </w:r>
      <w:r w:rsidR="00E63CB5" w:rsidRPr="0064135E">
        <w:t>.</w:t>
      </w:r>
      <w:r w:rsidR="004F6359" w:rsidRPr="0064135E">
        <w:t xml:space="preserve"> </w:t>
      </w:r>
      <w:r w:rsidR="00FE0D14" w:rsidRPr="0064135E">
        <w:t>Mientras que l</w:t>
      </w:r>
      <w:r w:rsidR="00D04A8B" w:rsidRPr="0064135E">
        <w:t>os impuestos sobre la propiedad</w:t>
      </w:r>
      <w:r w:rsidR="00FE0D14" w:rsidRPr="0064135E">
        <w:t xml:space="preserve"> muestran una </w:t>
      </w:r>
      <w:r w:rsidR="00D04A8B" w:rsidRPr="0064135E">
        <w:t xml:space="preserve">recaudación </w:t>
      </w:r>
      <w:r w:rsidR="00FE0D14" w:rsidRPr="0064135E">
        <w:t xml:space="preserve">de </w:t>
      </w:r>
      <w:r w:rsidR="00D04A8B" w:rsidRPr="0064135E">
        <w:t>Q</w:t>
      </w:r>
      <w:r w:rsidR="00FE0D14" w:rsidRPr="0064135E">
        <w:t>2</w:t>
      </w:r>
      <w:r w:rsidR="00D72C31">
        <w:t>7.3</w:t>
      </w:r>
      <w:r w:rsidR="00D04A8B" w:rsidRPr="0064135E">
        <w:t xml:space="preserve"> millones</w:t>
      </w:r>
      <w:r w:rsidR="000C150A">
        <w:t>,</w:t>
      </w:r>
      <w:r w:rsidR="0042467B" w:rsidRPr="0064135E">
        <w:t xml:space="preserve"> </w:t>
      </w:r>
      <w:r w:rsidR="00FE0D14" w:rsidRPr="0064135E">
        <w:t>con</w:t>
      </w:r>
      <w:r w:rsidR="0042467B" w:rsidRPr="0064135E">
        <w:t xml:space="preserve"> una</w:t>
      </w:r>
      <w:r w:rsidR="00D04A8B" w:rsidRPr="0064135E">
        <w:t xml:space="preserve"> </w:t>
      </w:r>
      <w:r w:rsidR="00AD1201" w:rsidRPr="0064135E">
        <w:t xml:space="preserve">disminución interanual del </w:t>
      </w:r>
      <w:r w:rsidR="00FE0D14" w:rsidRPr="0064135E">
        <w:t>8.6%</w:t>
      </w:r>
      <w:r w:rsidR="00AD1201" w:rsidRPr="0064135E">
        <w:t xml:space="preserve"> (</w:t>
      </w:r>
      <w:r w:rsidR="00D04A8B" w:rsidRPr="0064135E">
        <w:t>Q</w:t>
      </w:r>
      <w:r w:rsidR="00FE0D14" w:rsidRPr="0064135E">
        <w:t>2.6</w:t>
      </w:r>
      <w:r w:rsidR="00D04A8B" w:rsidRPr="0064135E">
        <w:t xml:space="preserve"> millones).</w:t>
      </w:r>
      <w:r w:rsidR="00FE0D14" w:rsidRPr="0064135E">
        <w:t xml:space="preserve"> </w:t>
      </w:r>
      <w:r w:rsidR="00D9215D" w:rsidRPr="0064135E">
        <w:t>Por su parte, la categoría de otros impuestos asciende a Q</w:t>
      </w:r>
      <w:r w:rsidR="00FE0D14" w:rsidRPr="0064135E">
        <w:t>431.0</w:t>
      </w:r>
      <w:r w:rsidR="00D9215D" w:rsidRPr="0064135E">
        <w:t xml:space="preserve"> millones con una disminución </w:t>
      </w:r>
      <w:r w:rsidR="00C14121" w:rsidRPr="0064135E">
        <w:t xml:space="preserve">del </w:t>
      </w:r>
      <w:r w:rsidR="00FE0D14" w:rsidRPr="0064135E">
        <w:t>1.2</w:t>
      </w:r>
      <w:r w:rsidR="00C14121" w:rsidRPr="0064135E">
        <w:t>% (Q</w:t>
      </w:r>
      <w:r w:rsidR="00FE0D14" w:rsidRPr="0064135E">
        <w:t>5</w:t>
      </w:r>
      <w:r w:rsidR="00C14121" w:rsidRPr="0064135E">
        <w:t>.</w:t>
      </w:r>
      <w:r w:rsidR="00FE0D14" w:rsidRPr="0064135E">
        <w:t>4</w:t>
      </w:r>
      <w:r w:rsidR="00C14121" w:rsidRPr="0064135E">
        <w:t xml:space="preserve"> millones).</w:t>
      </w:r>
    </w:p>
    <w:p w14:paraId="7655B80F" w14:textId="77777777" w:rsidR="00C14121" w:rsidRPr="0064135E" w:rsidRDefault="00C14121" w:rsidP="00F67E17"/>
    <w:p w14:paraId="7E0B5894" w14:textId="67915FD5" w:rsidR="00E66A98" w:rsidRDefault="00BC58A9" w:rsidP="00E501D3">
      <w:r w:rsidRPr="0064135E">
        <w:t>Entre los a</w:t>
      </w:r>
      <w:r w:rsidR="00704987" w:rsidRPr="0064135E">
        <w:t xml:space="preserve">spectos </w:t>
      </w:r>
      <w:r w:rsidRPr="0064135E">
        <w:t xml:space="preserve">más </w:t>
      </w:r>
      <w:r w:rsidR="00704987" w:rsidRPr="0064135E">
        <w:t>relevantes que</w:t>
      </w:r>
      <w:r w:rsidR="00AD123D" w:rsidRPr="0064135E">
        <w:t xml:space="preserve"> han</w:t>
      </w:r>
      <w:r w:rsidR="00704987" w:rsidRPr="0064135E">
        <w:t xml:space="preserve"> contribu</w:t>
      </w:r>
      <w:r w:rsidR="00AD123D" w:rsidRPr="0064135E">
        <w:t>ido</w:t>
      </w:r>
      <w:r w:rsidR="00704987" w:rsidRPr="0064135E">
        <w:t xml:space="preserve"> </w:t>
      </w:r>
      <w:r w:rsidR="00AD123D" w:rsidRPr="0064135E">
        <w:t>a</w:t>
      </w:r>
      <w:r w:rsidR="00704987" w:rsidRPr="0064135E">
        <w:t>l desempeño</w:t>
      </w:r>
      <w:r w:rsidRPr="0064135E">
        <w:t xml:space="preserve"> de la recaudación tributaria, se encuentran </w:t>
      </w:r>
      <w:r w:rsidR="00704987" w:rsidRPr="0064135E">
        <w:t>las medidas que ha venido desarrollando la SAT como la fiscalización por sector económico</w:t>
      </w:r>
      <w:r w:rsidRPr="0064135E">
        <w:t xml:space="preserve"> y</w:t>
      </w:r>
      <w:r w:rsidR="00704987" w:rsidRPr="0064135E">
        <w:t xml:space="preserve"> la identificación de nuevas tipologías de incumplimiento y </w:t>
      </w:r>
      <w:r w:rsidR="000C150A" w:rsidRPr="0064135E">
        <w:t>evasión,</w:t>
      </w:r>
      <w:r w:rsidR="00AD123D" w:rsidRPr="0064135E">
        <w:t xml:space="preserve"> as</w:t>
      </w:r>
      <w:r w:rsidR="00FF7BCC">
        <w:t>í</w:t>
      </w:r>
      <w:r w:rsidR="00AD123D" w:rsidRPr="0064135E">
        <w:t xml:space="preserve"> como el fortalecimiento aduanero</w:t>
      </w:r>
      <w:r w:rsidRPr="0064135E">
        <w:t>.</w:t>
      </w:r>
      <w:r w:rsidR="00704987" w:rsidRPr="0064135E">
        <w:t xml:space="preserve"> </w:t>
      </w:r>
    </w:p>
    <w:p w14:paraId="4052D5F7" w14:textId="77777777" w:rsidR="00BC58A9" w:rsidRPr="0064135E" w:rsidRDefault="00BC58A9" w:rsidP="00704987">
      <w:pPr>
        <w:outlineLvl w:val="2"/>
        <w:rPr>
          <w:rFonts w:cs="Times New Roman"/>
          <w:b/>
          <w:vanish/>
          <w:lang w:val="es-MX"/>
        </w:rPr>
      </w:pPr>
    </w:p>
    <w:p w14:paraId="61A773EE" w14:textId="77777777" w:rsidR="004D6488" w:rsidRPr="0064135E" w:rsidRDefault="008C0B31" w:rsidP="00B57C32">
      <w:pPr>
        <w:pStyle w:val="Prrafodelista"/>
        <w:numPr>
          <w:ilvl w:val="0"/>
          <w:numId w:val="1"/>
        </w:numPr>
        <w:ind w:left="426" w:hanging="426"/>
        <w:outlineLvl w:val="0"/>
        <w:rPr>
          <w:rFonts w:eastAsiaTheme="majorEastAsia" w:cs="Times New Roman"/>
          <w:b/>
          <w:bCs/>
          <w:sz w:val="24"/>
          <w:szCs w:val="26"/>
          <w:lang w:val="es-ES_tradnl" w:eastAsia="es-ES"/>
        </w:rPr>
      </w:pPr>
      <w:bookmarkStart w:id="48" w:name="_Toc31612760"/>
      <w:bookmarkStart w:id="49" w:name="_Toc31612792"/>
      <w:bookmarkStart w:id="50" w:name="_Toc31614818"/>
      <w:bookmarkStart w:id="51" w:name="_Toc31614850"/>
      <w:bookmarkStart w:id="52" w:name="_Toc31618687"/>
      <w:bookmarkStart w:id="53" w:name="_Toc31618720"/>
      <w:bookmarkStart w:id="54" w:name="_Toc31624496"/>
      <w:bookmarkStart w:id="55" w:name="_Toc31625348"/>
      <w:bookmarkStart w:id="56" w:name="_Toc31626803"/>
      <w:bookmarkStart w:id="57" w:name="_Toc31811254"/>
      <w:bookmarkStart w:id="58" w:name="_Toc31811699"/>
      <w:bookmarkStart w:id="59" w:name="_Toc31971862"/>
      <w:bookmarkStart w:id="60" w:name="_Toc32230884"/>
      <w:bookmarkStart w:id="61" w:name="_Toc33109783"/>
      <w:bookmarkStart w:id="62" w:name="_Toc33109826"/>
      <w:bookmarkStart w:id="63" w:name="_Toc33180547"/>
      <w:bookmarkStart w:id="64" w:name="_Toc33180641"/>
      <w:bookmarkStart w:id="65" w:name="_Toc33193538"/>
      <w:bookmarkStart w:id="66" w:name="_Toc33193577"/>
      <w:bookmarkStart w:id="67" w:name="_Toc33196774"/>
      <w:bookmarkStart w:id="68" w:name="_Toc40691750"/>
      <w:bookmarkStart w:id="69" w:name="_Toc40959153"/>
      <w:bookmarkStart w:id="70" w:name="_Toc40975987"/>
      <w:bookmarkStart w:id="71" w:name="_Toc40976056"/>
      <w:bookmarkStart w:id="72" w:name="_Toc40993311"/>
      <w:bookmarkStart w:id="73" w:name="_Toc40993693"/>
      <w:bookmarkStart w:id="74" w:name="_Toc41037569"/>
      <w:bookmarkStart w:id="75" w:name="_Toc41254129"/>
      <w:bookmarkStart w:id="76" w:name="_Toc41254161"/>
      <w:bookmarkStart w:id="77" w:name="_Toc41254181"/>
      <w:bookmarkStart w:id="78" w:name="_Toc42023954"/>
      <w:bookmarkStart w:id="79" w:name="_Toc42024007"/>
      <w:bookmarkStart w:id="80" w:name="_Toc42069105"/>
      <w:bookmarkStart w:id="81" w:name="_Toc49422051"/>
      <w:bookmarkStart w:id="82" w:name="_Toc49422077"/>
      <w:bookmarkStart w:id="83" w:name="_Toc49430656"/>
      <w:bookmarkStart w:id="84" w:name="_Toc49430682"/>
      <w:bookmarkStart w:id="85" w:name="_Toc49750459"/>
      <w:bookmarkStart w:id="86" w:name="_Toc49750709"/>
      <w:bookmarkStart w:id="87" w:name="_Toc49750737"/>
      <w:bookmarkStart w:id="88" w:name="_Toc55284823"/>
      <w:bookmarkStart w:id="89" w:name="_Toc55298841"/>
      <w:bookmarkStart w:id="90" w:name="_Toc55373822"/>
      <w:bookmarkStart w:id="91" w:name="_Toc55373995"/>
      <w:bookmarkStart w:id="92" w:name="_Toc55375132"/>
      <w:bookmarkStart w:id="93" w:name="_Toc55396540"/>
      <w:bookmarkStart w:id="94" w:name="_Toc65230536"/>
      <w:bookmarkStart w:id="95" w:name="_Toc65230774"/>
      <w:bookmarkStart w:id="96" w:name="_Toc65232058"/>
      <w:bookmarkStart w:id="97" w:name="_Toc65232303"/>
      <w:bookmarkStart w:id="98" w:name="_Toc66716162"/>
      <w:bookmarkStart w:id="99" w:name="_Toc71097207"/>
      <w:bookmarkStart w:id="100" w:name="_Toc71097238"/>
      <w:bookmarkStart w:id="101" w:name="_Toc71097313"/>
      <w:bookmarkStart w:id="102" w:name="_Toc71108053"/>
      <w:bookmarkStart w:id="103" w:name="_Toc79055247"/>
      <w:bookmarkStart w:id="104" w:name="_Toc79055278"/>
      <w:bookmarkStart w:id="105" w:name="_Toc79060169"/>
      <w:bookmarkStart w:id="106" w:name="_Toc79060456"/>
      <w:bookmarkStart w:id="107" w:name="_Toc81307813"/>
      <w:bookmarkStart w:id="108" w:name="_Toc83376474"/>
      <w:bookmarkStart w:id="109" w:name="_Toc86386713"/>
      <w:bookmarkStart w:id="110" w:name="_Toc86405399"/>
      <w:bookmarkStart w:id="111" w:name="_Toc98162429"/>
      <w:bookmarkStart w:id="112" w:name="_Toc98162461"/>
      <w:bookmarkStart w:id="113" w:name="_Toc98234987"/>
      <w:bookmarkStart w:id="114" w:name="_Toc98235182"/>
      <w:bookmarkStart w:id="115" w:name="_Toc98235267"/>
      <w:bookmarkStart w:id="116" w:name="_Toc98757137"/>
      <w:bookmarkStart w:id="117" w:name="_Toc101874692"/>
      <w:bookmarkStart w:id="118" w:name="_Toc101954148"/>
      <w:bookmarkStart w:id="119" w:name="_Toc101971965"/>
      <w:bookmarkStart w:id="120" w:name="_Toc101974057"/>
      <w:bookmarkStart w:id="121" w:name="_Toc102039742"/>
      <w:bookmarkStart w:id="122" w:name="_Toc102039780"/>
      <w:bookmarkStart w:id="123" w:name="_Toc102039820"/>
      <w:bookmarkStart w:id="124" w:name="_Toc102039851"/>
      <w:bookmarkStart w:id="125" w:name="_Toc102040909"/>
      <w:bookmarkStart w:id="126" w:name="_Toc102477757"/>
      <w:bookmarkStart w:id="127" w:name="_Toc102477788"/>
      <w:bookmarkStart w:id="128" w:name="_Toc109824818"/>
      <w:bookmarkStart w:id="129" w:name="_Toc109828774"/>
      <w:bookmarkStart w:id="130" w:name="_Toc109828837"/>
      <w:bookmarkStart w:id="131" w:name="_Toc109829013"/>
      <w:bookmarkStart w:id="132" w:name="_Toc109829044"/>
      <w:bookmarkStart w:id="133" w:name="_Toc109833888"/>
      <w:bookmarkStart w:id="134" w:name="_Toc110237431"/>
      <w:bookmarkStart w:id="135" w:name="_Toc117775308"/>
      <w:bookmarkStart w:id="136" w:name="_Toc117781277"/>
      <w:bookmarkStart w:id="137" w:name="_Toc125620806"/>
      <w:bookmarkStart w:id="138" w:name="_Toc125620837"/>
      <w:bookmarkStart w:id="139" w:name="_Toc125620868"/>
      <w:bookmarkStart w:id="140" w:name="_Toc125620904"/>
      <w:bookmarkStart w:id="141" w:name="_Toc125620935"/>
      <w:bookmarkStart w:id="142" w:name="_Toc125620968"/>
      <w:bookmarkStart w:id="143" w:name="_Toc125621021"/>
      <w:bookmarkStart w:id="144" w:name="_Toc125621075"/>
      <w:bookmarkStart w:id="145" w:name="_Toc125623553"/>
      <w:bookmarkStart w:id="146" w:name="_Toc125623585"/>
      <w:bookmarkStart w:id="147" w:name="_Toc125623617"/>
      <w:bookmarkStart w:id="148" w:name="_Toc125970363"/>
      <w:bookmarkStart w:id="149" w:name="_Toc125970395"/>
      <w:bookmarkStart w:id="150" w:name="_Toc127365846"/>
      <w:bookmarkStart w:id="151" w:name="_Toc127434598"/>
      <w:bookmarkStart w:id="152" w:name="_Toc127436965"/>
      <w:bookmarkStart w:id="153" w:name="_Toc127437327"/>
      <w:bookmarkStart w:id="154" w:name="_Toc127437680"/>
      <w:bookmarkStart w:id="155" w:name="_Toc133492774"/>
      <w:bookmarkStart w:id="156" w:name="_Toc133492971"/>
      <w:bookmarkStart w:id="157" w:name="_Toc133493193"/>
      <w:bookmarkStart w:id="158" w:name="_Toc133497827"/>
      <w:bookmarkStart w:id="159" w:name="_Toc133505547"/>
      <w:bookmarkStart w:id="160" w:name="_Toc133576125"/>
      <w:bookmarkStart w:id="161" w:name="_Toc133576197"/>
      <w:bookmarkStart w:id="162" w:name="_Toc133576230"/>
      <w:bookmarkStart w:id="163" w:name="_Toc133576262"/>
      <w:bookmarkStart w:id="164" w:name="_Toc133576294"/>
      <w:bookmarkStart w:id="165" w:name="_Toc133576326"/>
      <w:bookmarkStart w:id="166" w:name="_Toc133576379"/>
      <w:bookmarkStart w:id="167" w:name="_Toc133576412"/>
      <w:bookmarkStart w:id="168" w:name="_Toc133576446"/>
      <w:bookmarkStart w:id="169" w:name="_Toc133576479"/>
      <w:bookmarkStart w:id="170" w:name="_Toc141108738"/>
      <w:bookmarkStart w:id="171" w:name="_Toc141172979"/>
      <w:bookmarkStart w:id="172" w:name="_Toc141277676"/>
      <w:bookmarkStart w:id="173" w:name="_Toc141277708"/>
      <w:bookmarkStart w:id="174" w:name="_Toc141430922"/>
      <w:bookmarkStart w:id="175" w:name="_Toc152073584"/>
      <w:bookmarkStart w:id="176" w:name="_Toc152073618"/>
      <w:bookmarkStart w:id="177" w:name="_Toc152073651"/>
      <w:bookmarkStart w:id="178" w:name="_Toc152073702"/>
      <w:bookmarkStart w:id="179" w:name="_Toc152073735"/>
      <w:bookmarkStart w:id="180" w:name="_Toc152073767"/>
      <w:bookmarkStart w:id="181" w:name="_Toc152073799"/>
      <w:bookmarkStart w:id="182" w:name="_Toc152073898"/>
      <w:bookmarkStart w:id="183" w:name="_Toc31612761"/>
      <w:bookmarkStart w:id="184" w:name="_Toc31612793"/>
      <w:bookmarkStart w:id="185" w:name="_Toc31614819"/>
      <w:bookmarkStart w:id="186" w:name="_Toc31614851"/>
      <w:bookmarkStart w:id="187" w:name="_Toc31618688"/>
      <w:bookmarkStart w:id="188" w:name="_Toc31618721"/>
      <w:bookmarkStart w:id="189" w:name="_Toc31624497"/>
      <w:bookmarkStart w:id="190" w:name="_Toc31625349"/>
      <w:bookmarkStart w:id="191" w:name="_Toc31626804"/>
      <w:bookmarkStart w:id="192" w:name="_Toc31811255"/>
      <w:bookmarkStart w:id="193" w:name="_Toc31811700"/>
      <w:bookmarkStart w:id="194" w:name="_Toc31971863"/>
      <w:bookmarkStart w:id="195" w:name="_Toc32230885"/>
      <w:bookmarkStart w:id="196" w:name="_Toc33109784"/>
      <w:bookmarkStart w:id="197" w:name="_Toc33109827"/>
      <w:bookmarkStart w:id="198" w:name="_Toc33180548"/>
      <w:bookmarkStart w:id="199" w:name="_Toc33180642"/>
      <w:bookmarkStart w:id="200" w:name="_Toc33193539"/>
      <w:bookmarkStart w:id="201" w:name="_Toc33193578"/>
      <w:bookmarkStart w:id="202" w:name="_Toc33196775"/>
      <w:bookmarkStart w:id="203" w:name="_Toc40691751"/>
      <w:bookmarkStart w:id="204" w:name="_Toc40959154"/>
      <w:bookmarkStart w:id="205" w:name="_Toc40975988"/>
      <w:bookmarkStart w:id="206" w:name="_Toc40976057"/>
      <w:bookmarkStart w:id="207" w:name="_Toc40993312"/>
      <w:bookmarkStart w:id="208" w:name="_Toc40993694"/>
      <w:bookmarkStart w:id="209" w:name="_Toc41037570"/>
      <w:bookmarkStart w:id="210" w:name="_Toc41254130"/>
      <w:bookmarkStart w:id="211" w:name="_Toc41254162"/>
      <w:bookmarkStart w:id="212" w:name="_Toc41254182"/>
      <w:bookmarkStart w:id="213" w:name="_Toc42023955"/>
      <w:bookmarkStart w:id="214" w:name="_Toc42024008"/>
      <w:bookmarkStart w:id="215" w:name="_Toc42069106"/>
      <w:bookmarkStart w:id="216" w:name="_Toc49422052"/>
      <w:bookmarkStart w:id="217" w:name="_Toc49422078"/>
      <w:bookmarkStart w:id="218" w:name="_Toc49430657"/>
      <w:bookmarkStart w:id="219" w:name="_Toc49430683"/>
      <w:bookmarkStart w:id="220" w:name="_Toc49750460"/>
      <w:bookmarkStart w:id="221" w:name="_Toc49750710"/>
      <w:bookmarkStart w:id="222" w:name="_Toc49750738"/>
      <w:bookmarkStart w:id="223" w:name="_Toc55284824"/>
      <w:bookmarkStart w:id="224" w:name="_Toc55298842"/>
      <w:bookmarkStart w:id="225" w:name="_Toc55373823"/>
      <w:bookmarkStart w:id="226" w:name="_Toc55373996"/>
      <w:bookmarkStart w:id="227" w:name="_Toc55375133"/>
      <w:bookmarkStart w:id="228" w:name="_Toc55396541"/>
      <w:bookmarkStart w:id="229" w:name="_Toc65230537"/>
      <w:bookmarkStart w:id="230" w:name="_Toc65230775"/>
      <w:bookmarkStart w:id="231" w:name="_Toc65232059"/>
      <w:bookmarkStart w:id="232" w:name="_Toc65232304"/>
      <w:bookmarkStart w:id="233" w:name="_Toc66716163"/>
      <w:bookmarkStart w:id="234" w:name="_Toc71097208"/>
      <w:bookmarkStart w:id="235" w:name="_Toc71097239"/>
      <w:bookmarkStart w:id="236" w:name="_Toc71097314"/>
      <w:bookmarkStart w:id="237" w:name="_Toc71108054"/>
      <w:bookmarkStart w:id="238" w:name="_Toc79055248"/>
      <w:bookmarkStart w:id="239" w:name="_Toc79055279"/>
      <w:bookmarkStart w:id="240" w:name="_Toc79060170"/>
      <w:bookmarkStart w:id="241" w:name="_Toc79060457"/>
      <w:bookmarkStart w:id="242" w:name="_Toc81307814"/>
      <w:bookmarkStart w:id="243" w:name="_Toc83376475"/>
      <w:bookmarkStart w:id="244" w:name="_Toc86386714"/>
      <w:bookmarkStart w:id="245" w:name="_Toc86405400"/>
      <w:bookmarkStart w:id="246" w:name="_Toc98162430"/>
      <w:bookmarkStart w:id="247" w:name="_Toc98162462"/>
      <w:bookmarkStart w:id="248" w:name="_Toc98234988"/>
      <w:bookmarkStart w:id="249" w:name="_Toc98235183"/>
      <w:bookmarkStart w:id="250" w:name="_Toc98235268"/>
      <w:bookmarkStart w:id="251" w:name="_Toc98757138"/>
      <w:bookmarkStart w:id="252" w:name="_Toc101874693"/>
      <w:bookmarkStart w:id="253" w:name="_Toc101954149"/>
      <w:bookmarkStart w:id="254" w:name="_Toc101971966"/>
      <w:bookmarkStart w:id="255" w:name="_Toc101974058"/>
      <w:bookmarkStart w:id="256" w:name="_Toc102039743"/>
      <w:bookmarkStart w:id="257" w:name="_Toc102039781"/>
      <w:bookmarkStart w:id="258" w:name="_Toc102039821"/>
      <w:bookmarkStart w:id="259" w:name="_Toc102039852"/>
      <w:bookmarkStart w:id="260" w:name="_Toc102040910"/>
      <w:bookmarkStart w:id="261" w:name="_Toc102477758"/>
      <w:bookmarkStart w:id="262" w:name="_Toc102477789"/>
      <w:bookmarkStart w:id="263" w:name="_Toc109824819"/>
      <w:bookmarkStart w:id="264" w:name="_Toc109828775"/>
      <w:bookmarkStart w:id="265" w:name="_Toc109828838"/>
      <w:bookmarkStart w:id="266" w:name="_Toc109829014"/>
      <w:bookmarkStart w:id="267" w:name="_Toc109829045"/>
      <w:bookmarkStart w:id="268" w:name="_Toc109833889"/>
      <w:bookmarkStart w:id="269" w:name="_Toc110237432"/>
      <w:bookmarkStart w:id="270" w:name="_Toc117775309"/>
      <w:bookmarkStart w:id="271" w:name="_Toc117781278"/>
      <w:bookmarkStart w:id="272" w:name="_Toc125620807"/>
      <w:bookmarkStart w:id="273" w:name="_Toc125620838"/>
      <w:bookmarkStart w:id="274" w:name="_Toc125620869"/>
      <w:bookmarkStart w:id="275" w:name="_Toc125620905"/>
      <w:bookmarkStart w:id="276" w:name="_Toc125620936"/>
      <w:bookmarkStart w:id="277" w:name="_Toc125620969"/>
      <w:bookmarkStart w:id="278" w:name="_Toc125621022"/>
      <w:bookmarkStart w:id="279" w:name="_Toc125621076"/>
      <w:bookmarkStart w:id="280" w:name="_Toc125623554"/>
      <w:bookmarkStart w:id="281" w:name="_Toc125623586"/>
      <w:bookmarkStart w:id="282" w:name="_Toc125623618"/>
      <w:bookmarkStart w:id="283" w:name="_Toc125970364"/>
      <w:bookmarkStart w:id="284" w:name="_Toc125970396"/>
      <w:bookmarkStart w:id="285" w:name="_Toc127365847"/>
      <w:bookmarkStart w:id="286" w:name="_Toc127434599"/>
      <w:bookmarkStart w:id="287" w:name="_Toc127436966"/>
      <w:bookmarkStart w:id="288" w:name="_Toc127437328"/>
      <w:bookmarkStart w:id="289" w:name="_Toc127437681"/>
      <w:bookmarkStart w:id="290" w:name="_Toc133492775"/>
      <w:bookmarkStart w:id="291" w:name="_Toc133492972"/>
      <w:bookmarkStart w:id="292" w:name="_Toc133493194"/>
      <w:bookmarkStart w:id="293" w:name="_Toc133497828"/>
      <w:bookmarkStart w:id="294" w:name="_Toc133505548"/>
      <w:bookmarkStart w:id="295" w:name="_Toc133576126"/>
      <w:bookmarkStart w:id="296" w:name="_Toc133576198"/>
      <w:bookmarkStart w:id="297" w:name="_Toc133576231"/>
      <w:bookmarkStart w:id="298" w:name="_Toc133576263"/>
      <w:bookmarkStart w:id="299" w:name="_Toc133576295"/>
      <w:bookmarkStart w:id="300" w:name="_Toc133576327"/>
      <w:bookmarkStart w:id="301" w:name="_Toc133576380"/>
      <w:bookmarkStart w:id="302" w:name="_Toc133576413"/>
      <w:bookmarkStart w:id="303" w:name="_Toc133576447"/>
      <w:bookmarkStart w:id="304" w:name="_Toc133576480"/>
      <w:bookmarkStart w:id="305" w:name="_Toc141108739"/>
      <w:bookmarkStart w:id="306" w:name="_Toc141172980"/>
      <w:bookmarkStart w:id="307" w:name="_Toc141277677"/>
      <w:bookmarkStart w:id="308" w:name="_Toc141277709"/>
      <w:bookmarkStart w:id="309" w:name="_Toc141430923"/>
      <w:bookmarkStart w:id="310" w:name="_Toc152073585"/>
      <w:bookmarkStart w:id="311" w:name="_Toc152073619"/>
      <w:bookmarkStart w:id="312" w:name="_Toc152073652"/>
      <w:bookmarkStart w:id="313" w:name="_Toc152073703"/>
      <w:bookmarkStart w:id="314" w:name="_Toc152073736"/>
      <w:bookmarkStart w:id="315" w:name="_Toc152073768"/>
      <w:bookmarkStart w:id="316" w:name="_Toc152073800"/>
      <w:bookmarkStart w:id="317" w:name="_Toc152073899"/>
      <w:bookmarkStart w:id="318" w:name="_Toc15213931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64135E">
        <w:rPr>
          <w:rFonts w:eastAsiaTheme="majorEastAsia" w:cs="Times New Roman"/>
          <w:b/>
          <w:bCs/>
          <w:sz w:val="24"/>
          <w:szCs w:val="26"/>
          <w:lang w:val="es-ES_tradnl" w:eastAsia="es-ES"/>
        </w:rPr>
        <w:t>Gasto Público</w:t>
      </w:r>
      <w:r w:rsidR="00CE4BA6" w:rsidRPr="0064135E">
        <w:rPr>
          <w:rFonts w:eastAsiaTheme="majorEastAsia" w:cs="Times New Roman"/>
          <w:b/>
          <w:bCs/>
          <w:sz w:val="24"/>
          <w:szCs w:val="26"/>
          <w:lang w:val="es-ES_tradnl" w:eastAsia="es-ES"/>
        </w:rPr>
        <w:t xml:space="preserve"> del Gobierno Central Presupuestario</w:t>
      </w:r>
      <w:bookmarkEnd w:id="318"/>
    </w:p>
    <w:p w14:paraId="04223807" w14:textId="38232334" w:rsidR="008371B4" w:rsidRPr="0064135E" w:rsidRDefault="008371B4" w:rsidP="008371B4">
      <w:pPr>
        <w:rPr>
          <w:lang w:val="es-ES_tradnl"/>
        </w:rPr>
      </w:pPr>
      <w:r w:rsidRPr="0064135E">
        <w:rPr>
          <w:noProof/>
        </w:rPr>
        <w:drawing>
          <wp:inline distT="0" distB="0" distL="0" distR="0" wp14:anchorId="0AA72021" wp14:editId="48883BB9">
            <wp:extent cx="5836920" cy="948520"/>
            <wp:effectExtent l="76200" t="57150" r="87630" b="4254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F095CD4" w14:textId="001D6BA7" w:rsidR="005E3A61" w:rsidRPr="0064135E" w:rsidRDefault="005E3A61" w:rsidP="0068478A">
      <w:pPr>
        <w:pStyle w:val="Prrafodelista"/>
        <w:keepNext/>
        <w:keepLines/>
        <w:numPr>
          <w:ilvl w:val="0"/>
          <w:numId w:val="11"/>
        </w:numPr>
        <w:spacing w:before="200" w:after="120"/>
        <w:contextualSpacing w:val="0"/>
        <w:outlineLvl w:val="1"/>
        <w:rPr>
          <w:rFonts w:eastAsiaTheme="majorEastAsia" w:cs="Times New Roman"/>
          <w:b/>
          <w:bCs/>
          <w:vanish/>
          <w:sz w:val="24"/>
          <w:szCs w:val="26"/>
          <w:lang w:eastAsia="es-ES"/>
        </w:rPr>
      </w:pPr>
      <w:bookmarkStart w:id="319" w:name="_Toc472082166"/>
      <w:bookmarkStart w:id="320" w:name="_Toc472082198"/>
      <w:bookmarkStart w:id="321" w:name="_Toc472089914"/>
      <w:bookmarkStart w:id="322" w:name="_Toc472089937"/>
      <w:bookmarkStart w:id="323" w:name="_Toc505346064"/>
      <w:bookmarkStart w:id="324" w:name="_Toc505349879"/>
      <w:bookmarkStart w:id="325" w:name="_Toc534985837"/>
      <w:bookmarkStart w:id="326" w:name="_Toc534988230"/>
      <w:bookmarkStart w:id="327" w:name="_Toc31611550"/>
      <w:bookmarkStart w:id="328" w:name="_Toc31612769"/>
      <w:bookmarkStart w:id="329" w:name="_Toc31612801"/>
      <w:bookmarkStart w:id="330" w:name="_Toc31614827"/>
      <w:bookmarkStart w:id="331" w:name="_Toc31614859"/>
      <w:bookmarkStart w:id="332" w:name="_Toc31618696"/>
      <w:bookmarkStart w:id="333" w:name="_Toc31618729"/>
      <w:bookmarkStart w:id="334" w:name="_Toc31624505"/>
      <w:bookmarkStart w:id="335" w:name="_Toc31625357"/>
      <w:bookmarkStart w:id="336" w:name="_Toc31626812"/>
      <w:bookmarkStart w:id="337" w:name="_Toc31811263"/>
      <w:bookmarkStart w:id="338" w:name="_Toc31811708"/>
      <w:bookmarkStart w:id="339" w:name="_Toc31971871"/>
      <w:bookmarkStart w:id="340" w:name="_Toc32230893"/>
      <w:bookmarkStart w:id="341" w:name="_Toc33109789"/>
      <w:bookmarkStart w:id="342" w:name="_Toc33109832"/>
      <w:bookmarkStart w:id="343" w:name="_Toc33180553"/>
      <w:bookmarkStart w:id="344" w:name="_Toc33180647"/>
      <w:bookmarkStart w:id="345" w:name="_Toc33193544"/>
      <w:bookmarkStart w:id="346" w:name="_Toc33193583"/>
      <w:bookmarkStart w:id="347" w:name="_Toc33196780"/>
      <w:bookmarkStart w:id="348" w:name="_Toc40691756"/>
      <w:bookmarkStart w:id="349" w:name="_Toc40959157"/>
      <w:bookmarkStart w:id="350" w:name="_Toc40975991"/>
      <w:bookmarkStart w:id="351" w:name="_Toc40976060"/>
      <w:bookmarkStart w:id="352" w:name="_Toc40993315"/>
      <w:bookmarkStart w:id="353" w:name="_Toc40993697"/>
      <w:bookmarkStart w:id="354" w:name="_Toc41037573"/>
      <w:bookmarkStart w:id="355" w:name="_Toc41254133"/>
      <w:bookmarkStart w:id="356" w:name="_Toc41254165"/>
      <w:bookmarkStart w:id="357" w:name="_Toc41254185"/>
      <w:bookmarkStart w:id="358" w:name="_Toc42023959"/>
      <w:bookmarkStart w:id="359" w:name="_Toc42024011"/>
      <w:bookmarkStart w:id="360" w:name="_Toc42069109"/>
      <w:bookmarkStart w:id="361" w:name="_Toc49422055"/>
      <w:bookmarkStart w:id="362" w:name="_Toc49422081"/>
      <w:bookmarkStart w:id="363" w:name="_Toc49430660"/>
      <w:bookmarkStart w:id="364" w:name="_Toc49430686"/>
      <w:bookmarkStart w:id="365" w:name="_Toc49750463"/>
      <w:bookmarkStart w:id="366" w:name="_Toc49750713"/>
      <w:bookmarkStart w:id="367" w:name="_Toc49750741"/>
      <w:bookmarkStart w:id="368" w:name="_Toc55284827"/>
      <w:bookmarkStart w:id="369" w:name="_Toc55298845"/>
      <w:bookmarkStart w:id="370" w:name="_Toc55373826"/>
      <w:bookmarkStart w:id="371" w:name="_Toc55373999"/>
      <w:bookmarkStart w:id="372" w:name="_Toc55375136"/>
      <w:bookmarkStart w:id="373" w:name="_Toc55396544"/>
      <w:bookmarkStart w:id="374" w:name="_Toc65230540"/>
      <w:bookmarkStart w:id="375" w:name="_Toc65230778"/>
      <w:bookmarkStart w:id="376" w:name="_Toc65232062"/>
      <w:bookmarkStart w:id="377" w:name="_Toc65232307"/>
      <w:bookmarkStart w:id="378" w:name="_Toc66716166"/>
      <w:bookmarkStart w:id="379" w:name="_Toc71097211"/>
      <w:bookmarkStart w:id="380" w:name="_Toc71097242"/>
      <w:bookmarkStart w:id="381" w:name="_Toc71097317"/>
      <w:bookmarkStart w:id="382" w:name="_Toc71108057"/>
      <w:bookmarkStart w:id="383" w:name="_Toc79055251"/>
      <w:bookmarkStart w:id="384" w:name="_Toc79055282"/>
      <w:bookmarkStart w:id="385" w:name="_Toc79060173"/>
      <w:bookmarkStart w:id="386" w:name="_Toc79060460"/>
      <w:bookmarkStart w:id="387" w:name="_Toc81307817"/>
      <w:bookmarkStart w:id="388" w:name="_Toc83376478"/>
      <w:bookmarkStart w:id="389" w:name="_Toc86386717"/>
      <w:bookmarkStart w:id="390" w:name="_Toc86405403"/>
      <w:bookmarkStart w:id="391" w:name="_Toc98162433"/>
      <w:bookmarkStart w:id="392" w:name="_Toc98162465"/>
      <w:bookmarkStart w:id="393" w:name="_Toc98234991"/>
      <w:bookmarkStart w:id="394" w:name="_Toc98235186"/>
      <w:bookmarkStart w:id="395" w:name="_Toc98235271"/>
      <w:bookmarkStart w:id="396" w:name="_Toc98757141"/>
      <w:bookmarkStart w:id="397" w:name="_Toc101874696"/>
      <w:bookmarkStart w:id="398" w:name="_Toc101954152"/>
      <w:bookmarkStart w:id="399" w:name="_Toc101971969"/>
      <w:bookmarkStart w:id="400" w:name="_Toc101974061"/>
      <w:bookmarkStart w:id="401" w:name="_Toc102039746"/>
      <w:bookmarkStart w:id="402" w:name="_Toc102039784"/>
      <w:bookmarkStart w:id="403" w:name="_Toc102039824"/>
      <w:bookmarkStart w:id="404" w:name="_Toc102039855"/>
      <w:bookmarkStart w:id="405" w:name="_Toc102040913"/>
      <w:bookmarkStart w:id="406" w:name="_Toc102477761"/>
      <w:bookmarkStart w:id="407" w:name="_Toc102477792"/>
      <w:bookmarkStart w:id="408" w:name="_Toc109824822"/>
      <w:bookmarkStart w:id="409" w:name="_Toc109828778"/>
      <w:bookmarkStart w:id="410" w:name="_Toc109828841"/>
      <w:bookmarkStart w:id="411" w:name="_Toc109829017"/>
      <w:bookmarkStart w:id="412" w:name="_Toc109829048"/>
      <w:bookmarkStart w:id="413" w:name="_Toc109833892"/>
      <w:bookmarkStart w:id="414" w:name="_Toc110237435"/>
      <w:bookmarkStart w:id="415" w:name="_Toc117775312"/>
      <w:bookmarkStart w:id="416" w:name="_Toc117781281"/>
      <w:bookmarkStart w:id="417" w:name="_Toc125620810"/>
      <w:bookmarkStart w:id="418" w:name="_Toc125620841"/>
      <w:bookmarkStart w:id="419" w:name="_Toc125620872"/>
      <w:bookmarkStart w:id="420" w:name="_Toc125620908"/>
      <w:bookmarkStart w:id="421" w:name="_Toc125620939"/>
      <w:bookmarkStart w:id="422" w:name="_Toc125620972"/>
      <w:bookmarkStart w:id="423" w:name="_Toc125621025"/>
      <w:bookmarkStart w:id="424" w:name="_Toc125621079"/>
      <w:bookmarkStart w:id="425" w:name="_Toc125623557"/>
      <w:bookmarkStart w:id="426" w:name="_Toc125623589"/>
      <w:bookmarkStart w:id="427" w:name="_Toc125623621"/>
      <w:bookmarkStart w:id="428" w:name="_Toc125970367"/>
      <w:bookmarkStart w:id="429" w:name="_Toc125970399"/>
      <w:bookmarkStart w:id="430" w:name="_Toc127365850"/>
      <w:bookmarkStart w:id="431" w:name="_Toc127434602"/>
      <w:bookmarkStart w:id="432" w:name="_Toc127436969"/>
      <w:bookmarkStart w:id="433" w:name="_Toc127437331"/>
      <w:bookmarkStart w:id="434" w:name="_Toc127437684"/>
      <w:bookmarkStart w:id="435" w:name="_Toc133492778"/>
      <w:bookmarkStart w:id="436" w:name="_Toc133492975"/>
      <w:bookmarkStart w:id="437" w:name="_Toc133493197"/>
      <w:bookmarkStart w:id="438" w:name="_Toc133497831"/>
      <w:bookmarkStart w:id="439" w:name="_Toc133505551"/>
      <w:bookmarkStart w:id="440" w:name="_Toc133576129"/>
      <w:bookmarkStart w:id="441" w:name="_Toc133576201"/>
      <w:bookmarkStart w:id="442" w:name="_Toc133576234"/>
      <w:bookmarkStart w:id="443" w:name="_Toc133576266"/>
      <w:bookmarkStart w:id="444" w:name="_Toc133576298"/>
      <w:bookmarkStart w:id="445" w:name="_Toc133576330"/>
      <w:bookmarkStart w:id="446" w:name="_Toc133576383"/>
      <w:bookmarkStart w:id="447" w:name="_Toc133576417"/>
      <w:bookmarkStart w:id="448" w:name="_Toc133576450"/>
      <w:bookmarkStart w:id="449" w:name="_Toc133576483"/>
      <w:bookmarkStart w:id="450" w:name="_Toc141108742"/>
      <w:bookmarkStart w:id="451" w:name="_Toc141172983"/>
      <w:bookmarkStart w:id="452" w:name="_Toc141277680"/>
      <w:bookmarkStart w:id="453" w:name="_Toc141277712"/>
      <w:bookmarkStart w:id="454" w:name="_Toc141430926"/>
      <w:bookmarkStart w:id="455" w:name="_Toc152073588"/>
      <w:bookmarkStart w:id="456" w:name="_Toc152073622"/>
      <w:bookmarkStart w:id="457" w:name="_Toc152073655"/>
      <w:bookmarkStart w:id="458" w:name="_Toc152073706"/>
      <w:bookmarkStart w:id="459" w:name="_Toc152073739"/>
      <w:bookmarkStart w:id="460" w:name="_Toc152073771"/>
      <w:bookmarkStart w:id="461" w:name="_Toc152073803"/>
      <w:bookmarkStart w:id="462" w:name="_Toc127437685"/>
      <w:bookmarkStart w:id="463" w:name="_Toc133492779"/>
      <w:bookmarkStart w:id="464" w:name="_Toc133492976"/>
      <w:bookmarkStart w:id="465" w:name="_Toc133493198"/>
      <w:bookmarkStart w:id="466" w:name="_Toc133497832"/>
      <w:bookmarkStart w:id="467" w:name="_Toc133505552"/>
      <w:bookmarkStart w:id="468" w:name="_Toc133576130"/>
      <w:bookmarkStart w:id="469" w:name="_Toc133576202"/>
      <w:bookmarkStart w:id="470" w:name="_Toc133576235"/>
      <w:bookmarkStart w:id="471" w:name="_Toc133576267"/>
      <w:bookmarkStart w:id="472" w:name="_Toc133576299"/>
      <w:bookmarkStart w:id="473" w:name="_Toc133576331"/>
      <w:bookmarkStart w:id="474" w:name="_Toc133576384"/>
      <w:bookmarkStart w:id="475" w:name="_Toc133576418"/>
      <w:bookmarkStart w:id="476" w:name="_Toc133576451"/>
      <w:bookmarkStart w:id="477" w:name="_Toc133576484"/>
      <w:bookmarkStart w:id="478" w:name="_Toc141108743"/>
      <w:bookmarkStart w:id="479" w:name="_Toc141172984"/>
      <w:bookmarkStart w:id="480" w:name="_Toc141277681"/>
      <w:bookmarkStart w:id="481" w:name="_Toc141277713"/>
      <w:bookmarkStart w:id="482" w:name="_Toc141430927"/>
      <w:bookmarkStart w:id="483" w:name="_Toc152073589"/>
      <w:bookmarkStart w:id="484" w:name="_Toc152073623"/>
      <w:bookmarkStart w:id="485" w:name="_Toc152073656"/>
      <w:bookmarkStart w:id="486" w:name="_Toc152073707"/>
      <w:bookmarkStart w:id="487" w:name="_Toc152073740"/>
      <w:bookmarkStart w:id="488" w:name="_Toc152073772"/>
      <w:bookmarkStart w:id="489" w:name="_Toc152073804"/>
      <w:bookmarkStart w:id="490" w:name="_Toc152073995"/>
      <w:bookmarkStart w:id="491" w:name="_Toc152074082"/>
      <w:bookmarkStart w:id="492" w:name="_Toc152074273"/>
      <w:bookmarkStart w:id="493" w:name="_Toc152074304"/>
      <w:bookmarkStart w:id="494" w:name="_Toc152087699"/>
      <w:bookmarkStart w:id="495" w:name="_Toc152139318"/>
      <w:bookmarkStart w:id="496" w:name="_Toc125970400"/>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4973411E" w14:textId="2A6091D6" w:rsidR="005B5A6B" w:rsidRPr="0064135E" w:rsidRDefault="00AD123D" w:rsidP="005B5A6B">
      <w:pPr>
        <w:pStyle w:val="Ttulo2"/>
        <w:numPr>
          <w:ilvl w:val="1"/>
          <w:numId w:val="11"/>
        </w:numPr>
        <w:tabs>
          <w:tab w:val="left" w:pos="426"/>
        </w:tabs>
        <w:spacing w:before="0"/>
        <w:rPr>
          <w:rFonts w:ascii="Times New Roman" w:hAnsi="Times New Roman" w:cs="Times New Roman"/>
          <w:color w:val="auto"/>
          <w:sz w:val="24"/>
          <w:lang w:val="es-ES_tradnl"/>
        </w:rPr>
      </w:pPr>
      <w:bookmarkStart w:id="497" w:name="_Toc152139319"/>
      <w:bookmarkEnd w:id="496"/>
      <w:r w:rsidRPr="0064135E">
        <w:rPr>
          <w:rFonts w:ascii="Times New Roman" w:hAnsi="Times New Roman" w:cs="Times New Roman"/>
          <w:color w:val="auto"/>
          <w:sz w:val="24"/>
        </w:rPr>
        <w:t>El ritmo del gasto se desacelera</w:t>
      </w:r>
      <w:bookmarkEnd w:id="497"/>
    </w:p>
    <w:p w14:paraId="2954706E" w14:textId="786E5A65" w:rsidR="00362CC3" w:rsidRPr="0064135E" w:rsidRDefault="00D45C1F" w:rsidP="00362CC3">
      <w:pPr>
        <w:rPr>
          <w:rFonts w:cs="Times New Roman"/>
          <w:szCs w:val="22"/>
        </w:rPr>
      </w:pPr>
      <w:bookmarkStart w:id="498" w:name="_Toc133576233"/>
      <w:bookmarkStart w:id="499" w:name="_Toc152073738"/>
      <w:r w:rsidRPr="0064135E">
        <w:rPr>
          <w:rFonts w:cs="Times New Roman"/>
          <w:noProof/>
          <w:lang w:eastAsia="es-GT"/>
        </w:rPr>
        <w:drawing>
          <wp:anchor distT="0" distB="0" distL="114300" distR="114300" simplePos="0" relativeHeight="251677700" behindDoc="0" locked="0" layoutInCell="1" allowOverlap="1" wp14:anchorId="71BF6F69" wp14:editId="6B4F281E">
            <wp:simplePos x="0" y="0"/>
            <wp:positionH relativeFrom="margin">
              <wp:posOffset>3298190</wp:posOffset>
            </wp:positionH>
            <wp:positionV relativeFrom="paragraph">
              <wp:posOffset>82550</wp:posOffset>
            </wp:positionV>
            <wp:extent cx="2668905" cy="2999105"/>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bookmarkEnd w:id="498"/>
      <w:bookmarkEnd w:id="499"/>
      <w:r w:rsidR="00362CC3" w:rsidRPr="0064135E">
        <w:rPr>
          <w:rFonts w:cs="Times New Roman"/>
          <w:szCs w:val="22"/>
        </w:rPr>
        <w:t xml:space="preserve">El gasto público </w:t>
      </w:r>
      <w:r w:rsidR="00963C87" w:rsidRPr="0064135E">
        <w:rPr>
          <w:rFonts w:cs="Times New Roman"/>
          <w:szCs w:val="22"/>
        </w:rPr>
        <w:t xml:space="preserve">se sitúa en </w:t>
      </w:r>
      <w:r w:rsidR="00362CC3" w:rsidRPr="0064135E">
        <w:rPr>
          <w:rFonts w:cs="Times New Roman"/>
          <w:szCs w:val="22"/>
        </w:rPr>
        <w:t>Q</w:t>
      </w:r>
      <w:r w:rsidR="00AD123D" w:rsidRPr="0064135E">
        <w:rPr>
          <w:rFonts w:cs="Times New Roman"/>
          <w:szCs w:val="22"/>
        </w:rPr>
        <w:t>80,190.0</w:t>
      </w:r>
      <w:r w:rsidR="00963C87" w:rsidRPr="0064135E">
        <w:rPr>
          <w:rFonts w:cs="Times New Roman"/>
          <w:szCs w:val="22"/>
        </w:rPr>
        <w:t xml:space="preserve"> </w:t>
      </w:r>
      <w:r w:rsidR="00362CC3" w:rsidRPr="0064135E">
        <w:rPr>
          <w:rFonts w:cs="Times New Roman"/>
          <w:szCs w:val="22"/>
        </w:rPr>
        <w:t>millones</w:t>
      </w:r>
      <w:r w:rsidR="00D361F5" w:rsidRPr="0064135E">
        <w:rPr>
          <w:rFonts w:cs="Times New Roman"/>
          <w:szCs w:val="22"/>
        </w:rPr>
        <w:t xml:space="preserve"> </w:t>
      </w:r>
      <w:r w:rsidR="00AD123D" w:rsidRPr="0064135E">
        <w:rPr>
          <w:rFonts w:cs="Times New Roman"/>
          <w:szCs w:val="22"/>
        </w:rPr>
        <w:t>al finalizar el tercer trimestre del año, siendo esto</w:t>
      </w:r>
      <w:r w:rsidR="00D361F5" w:rsidRPr="0064135E">
        <w:rPr>
          <w:rFonts w:cs="Times New Roman"/>
          <w:szCs w:val="22"/>
        </w:rPr>
        <w:t xml:space="preserve"> un</w:t>
      </w:r>
      <w:r w:rsidR="00AD123D" w:rsidRPr="0064135E">
        <w:rPr>
          <w:rFonts w:cs="Times New Roman"/>
          <w:szCs w:val="22"/>
        </w:rPr>
        <w:t xml:space="preserve"> crecimiento </w:t>
      </w:r>
      <w:r w:rsidR="00D361F5" w:rsidRPr="0064135E">
        <w:rPr>
          <w:rFonts w:cs="Times New Roman"/>
          <w:szCs w:val="22"/>
        </w:rPr>
        <w:t>del 1</w:t>
      </w:r>
      <w:r w:rsidR="00AD123D" w:rsidRPr="0064135E">
        <w:rPr>
          <w:rFonts w:cs="Times New Roman"/>
          <w:szCs w:val="22"/>
        </w:rPr>
        <w:t>0</w:t>
      </w:r>
      <w:r w:rsidR="00D361F5" w:rsidRPr="0064135E">
        <w:rPr>
          <w:rFonts w:cs="Times New Roman"/>
          <w:szCs w:val="22"/>
        </w:rPr>
        <w:t>.</w:t>
      </w:r>
      <w:r w:rsidR="00AD123D" w:rsidRPr="0064135E">
        <w:rPr>
          <w:rFonts w:cs="Times New Roman"/>
          <w:szCs w:val="22"/>
        </w:rPr>
        <w:t>9</w:t>
      </w:r>
      <w:r w:rsidR="00D361F5" w:rsidRPr="0064135E">
        <w:rPr>
          <w:rFonts w:cs="Times New Roman"/>
          <w:szCs w:val="22"/>
        </w:rPr>
        <w:t>% (Q</w:t>
      </w:r>
      <w:r w:rsidR="00AD123D" w:rsidRPr="0064135E">
        <w:rPr>
          <w:rFonts w:cs="Times New Roman"/>
          <w:szCs w:val="22"/>
        </w:rPr>
        <w:t xml:space="preserve">7,870.9 </w:t>
      </w:r>
      <w:r w:rsidR="003573B4" w:rsidRPr="0064135E">
        <w:rPr>
          <w:rFonts w:cs="Times New Roman"/>
          <w:szCs w:val="22"/>
        </w:rPr>
        <w:t>millones</w:t>
      </w:r>
      <w:r w:rsidR="00D361F5" w:rsidRPr="0064135E">
        <w:rPr>
          <w:rFonts w:cs="Times New Roman"/>
          <w:szCs w:val="22"/>
        </w:rPr>
        <w:t>) respecto al año previo.</w:t>
      </w:r>
      <w:r w:rsidR="007223A3" w:rsidRPr="0064135E">
        <w:rPr>
          <w:rFonts w:cs="Times New Roman"/>
          <w:szCs w:val="22"/>
        </w:rPr>
        <w:t xml:space="preserve"> </w:t>
      </w:r>
      <w:r w:rsidR="00AD123D" w:rsidRPr="0064135E">
        <w:rPr>
          <w:rFonts w:cs="Times New Roman"/>
          <w:szCs w:val="22"/>
        </w:rPr>
        <w:t>Es oportuno mencionar que en el segu</w:t>
      </w:r>
      <w:r w:rsidR="00535323">
        <w:rPr>
          <w:rFonts w:cs="Times New Roman"/>
          <w:szCs w:val="22"/>
        </w:rPr>
        <w:t>ndo</w:t>
      </w:r>
      <w:r w:rsidR="00AD123D" w:rsidRPr="0064135E">
        <w:rPr>
          <w:rFonts w:cs="Times New Roman"/>
          <w:szCs w:val="22"/>
        </w:rPr>
        <w:t xml:space="preserve"> y tercer trimestre del año se observa una desaceleración respecto al</w:t>
      </w:r>
      <w:r w:rsidR="00620980" w:rsidRPr="0064135E">
        <w:rPr>
          <w:rFonts w:cs="Times New Roman"/>
          <w:szCs w:val="22"/>
        </w:rPr>
        <w:t xml:space="preserve"> comportamiento </w:t>
      </w:r>
      <w:r w:rsidR="00CA405B">
        <w:rPr>
          <w:rFonts w:cs="Times New Roman"/>
          <w:szCs w:val="22"/>
        </w:rPr>
        <w:t>d</w:t>
      </w:r>
      <w:r w:rsidR="00620980" w:rsidRPr="0064135E">
        <w:rPr>
          <w:rFonts w:cs="Times New Roman"/>
          <w:szCs w:val="22"/>
        </w:rPr>
        <w:t>el</w:t>
      </w:r>
      <w:r w:rsidR="00AD123D" w:rsidRPr="0064135E">
        <w:rPr>
          <w:rFonts w:cs="Times New Roman"/>
          <w:szCs w:val="22"/>
        </w:rPr>
        <w:t xml:space="preserve"> primer trimestre</w:t>
      </w:r>
      <w:r w:rsidR="00620980" w:rsidRPr="0064135E">
        <w:rPr>
          <w:rFonts w:cs="Times New Roman"/>
          <w:szCs w:val="22"/>
        </w:rPr>
        <w:t>.</w:t>
      </w:r>
    </w:p>
    <w:p w14:paraId="2769F385" w14:textId="77777777" w:rsidR="00362CC3" w:rsidRPr="0064135E" w:rsidRDefault="00362CC3" w:rsidP="00362CC3">
      <w:pPr>
        <w:rPr>
          <w:rFonts w:cs="Times New Roman"/>
          <w:szCs w:val="22"/>
        </w:rPr>
      </w:pPr>
    </w:p>
    <w:p w14:paraId="7205723F" w14:textId="669CEA0C" w:rsidR="00620980" w:rsidRPr="0064135E" w:rsidRDefault="00362CC3" w:rsidP="00362CC3">
      <w:pPr>
        <w:rPr>
          <w:rFonts w:cs="Times New Roman"/>
          <w:szCs w:val="22"/>
        </w:rPr>
      </w:pPr>
      <w:r w:rsidRPr="0064135E">
        <w:rPr>
          <w:rFonts w:cs="Times New Roman"/>
          <w:szCs w:val="22"/>
        </w:rPr>
        <w:t xml:space="preserve">La cuenta económica </w:t>
      </w:r>
      <w:r w:rsidR="00620980" w:rsidRPr="0064135E">
        <w:rPr>
          <w:rFonts w:cs="Times New Roman"/>
          <w:szCs w:val="22"/>
        </w:rPr>
        <w:t>que ha tenido el mayor</w:t>
      </w:r>
      <w:r w:rsidRPr="0064135E">
        <w:rPr>
          <w:rFonts w:cs="Times New Roman"/>
          <w:szCs w:val="22"/>
        </w:rPr>
        <w:t xml:space="preserve"> incremento</w:t>
      </w:r>
      <w:r w:rsidR="00620980" w:rsidRPr="0064135E">
        <w:rPr>
          <w:rFonts w:cs="Times New Roman"/>
          <w:szCs w:val="22"/>
        </w:rPr>
        <w:t xml:space="preserve"> interanual son las donaciones, las cuales ascienden a Q20,454.5 millones con una variación interanual del 14.7%</w:t>
      </w:r>
      <w:r w:rsidR="00C66747" w:rsidRPr="0064135E">
        <w:rPr>
          <w:rFonts w:cs="Times New Roman"/>
          <w:szCs w:val="22"/>
        </w:rPr>
        <w:t xml:space="preserve"> </w:t>
      </w:r>
      <w:r w:rsidR="00620980" w:rsidRPr="0064135E">
        <w:rPr>
          <w:rFonts w:cs="Times New Roman"/>
          <w:szCs w:val="22"/>
        </w:rPr>
        <w:t>(Q2,616.7 millones)</w:t>
      </w:r>
      <w:r w:rsidR="00C779B2" w:rsidRPr="0064135E">
        <w:rPr>
          <w:rFonts w:cs="Times New Roman"/>
          <w:szCs w:val="22"/>
        </w:rPr>
        <w:t>.</w:t>
      </w:r>
      <w:r w:rsidR="00330554" w:rsidRPr="0064135E">
        <w:t xml:space="preserve"> </w:t>
      </w:r>
      <w:r w:rsidR="00977DA8" w:rsidRPr="0064135E">
        <w:t>El dinamismo en esta cuenta se deriva principalmente</w:t>
      </w:r>
      <w:r w:rsidR="00C779B2" w:rsidRPr="0064135E">
        <w:t xml:space="preserve"> a las </w:t>
      </w:r>
      <w:r w:rsidR="00330554" w:rsidRPr="0064135E">
        <w:t>transferencias</w:t>
      </w:r>
      <w:r w:rsidR="009F2A07" w:rsidRPr="0064135E">
        <w:t xml:space="preserve"> de capital</w:t>
      </w:r>
      <w:r w:rsidR="00330554" w:rsidRPr="0064135E">
        <w:t xml:space="preserve"> realizadas a las municipalidades que aumentó en 14.3% (</w:t>
      </w:r>
      <w:r w:rsidR="006D40DE" w:rsidRPr="0064135E">
        <w:t>Q937.75 millones</w:t>
      </w:r>
      <w:r w:rsidR="00330554" w:rsidRPr="0064135E">
        <w:t>)</w:t>
      </w:r>
      <w:r w:rsidR="00B76E8A" w:rsidRPr="0064135E">
        <w:t xml:space="preserve"> y</w:t>
      </w:r>
      <w:r w:rsidR="00330554" w:rsidRPr="0064135E">
        <w:t xml:space="preserve"> a</w:t>
      </w:r>
      <w:r w:rsidR="00B76E8A" w:rsidRPr="0064135E">
        <w:t xml:space="preserve"> los</w:t>
      </w:r>
      <w:r w:rsidR="00330554" w:rsidRPr="0064135E">
        <w:t xml:space="preserve"> Consejos de Desarrollo Urbano y Rural con un incremento del </w:t>
      </w:r>
      <w:r w:rsidR="006711C0" w:rsidRPr="0064135E">
        <w:t>34.5</w:t>
      </w:r>
      <w:r w:rsidR="00330554" w:rsidRPr="0064135E">
        <w:t>% (Q</w:t>
      </w:r>
      <w:r w:rsidR="000524BF" w:rsidRPr="0064135E">
        <w:t xml:space="preserve">591.89 </w:t>
      </w:r>
      <w:r w:rsidR="00330554" w:rsidRPr="0064135E">
        <w:t>millones)</w:t>
      </w:r>
      <w:r w:rsidR="001015F9">
        <w:t>,</w:t>
      </w:r>
      <w:r w:rsidR="00330554" w:rsidRPr="0064135E">
        <w:t xml:space="preserve"> </w:t>
      </w:r>
      <w:r w:rsidR="00BC04EA" w:rsidRPr="0064135E">
        <w:t>además de</w:t>
      </w:r>
      <w:r w:rsidR="00330554" w:rsidRPr="0064135E">
        <w:t xml:space="preserve"> las transferencias</w:t>
      </w:r>
      <w:r w:rsidR="00BC04EA" w:rsidRPr="0064135E">
        <w:t xml:space="preserve"> corrientes</w:t>
      </w:r>
      <w:r w:rsidR="00330554" w:rsidRPr="0064135E">
        <w:t xml:space="preserve"> </w:t>
      </w:r>
      <w:r w:rsidR="00313944" w:rsidRPr="0064135E">
        <w:t xml:space="preserve">dirigidas a </w:t>
      </w:r>
      <w:r w:rsidR="00330554" w:rsidRPr="0064135E">
        <w:t>la Administración Central (incluye los aportes otorgados al Tribunal Sup</w:t>
      </w:r>
      <w:r w:rsidR="001015F9">
        <w:t>remo</w:t>
      </w:r>
      <w:r w:rsidR="00330554" w:rsidRPr="0064135E">
        <w:t xml:space="preserve"> Electoral, Ministerio Público, Organismo Legislativo, entre otros) con una variación del 1</w:t>
      </w:r>
      <w:r w:rsidR="00114B99" w:rsidRPr="0064135E">
        <w:t>4</w:t>
      </w:r>
      <w:r w:rsidR="00330554" w:rsidRPr="0064135E">
        <w:t>.</w:t>
      </w:r>
      <w:r w:rsidR="006D40DE" w:rsidRPr="0064135E">
        <w:t>5</w:t>
      </w:r>
      <w:r w:rsidR="00330554" w:rsidRPr="0064135E">
        <w:t>% (Q</w:t>
      </w:r>
      <w:r w:rsidR="006D40DE" w:rsidRPr="0064135E">
        <w:t xml:space="preserve">555.83 </w:t>
      </w:r>
      <w:r w:rsidR="00330554" w:rsidRPr="0064135E">
        <w:t>millones).</w:t>
      </w:r>
    </w:p>
    <w:p w14:paraId="29101A70" w14:textId="77777777" w:rsidR="00620980" w:rsidRPr="0064135E" w:rsidRDefault="00620980" w:rsidP="00362CC3">
      <w:pPr>
        <w:rPr>
          <w:rFonts w:cs="Times New Roman"/>
          <w:szCs w:val="22"/>
        </w:rPr>
      </w:pPr>
    </w:p>
    <w:p w14:paraId="15F8DDB2" w14:textId="0455DA55" w:rsidR="00D27DE5" w:rsidRPr="0064135E" w:rsidRDefault="00D27DE5" w:rsidP="00D27DE5">
      <w:r w:rsidRPr="0064135E">
        <w:t xml:space="preserve">La segunda cuenta económica con mayor crecimiento fueron las remuneraciones a los empleados </w:t>
      </w:r>
      <w:r w:rsidR="007F59FD" w:rsidRPr="0064135E">
        <w:t xml:space="preserve">que ascienden a </w:t>
      </w:r>
      <w:r w:rsidRPr="0064135E">
        <w:t>Q</w:t>
      </w:r>
      <w:r w:rsidR="00212905" w:rsidRPr="0064135E">
        <w:t xml:space="preserve">25,621.6 </w:t>
      </w:r>
      <w:r w:rsidRPr="0064135E">
        <w:t>millones</w:t>
      </w:r>
      <w:r w:rsidR="000C150A">
        <w:t>,</w:t>
      </w:r>
      <w:r w:rsidRPr="0064135E">
        <w:t xml:space="preserve"> </w:t>
      </w:r>
      <w:r w:rsidR="00212905" w:rsidRPr="0064135E">
        <w:t>con un crecimiento del 10.4</w:t>
      </w:r>
      <w:r w:rsidRPr="0064135E">
        <w:t>% (Q</w:t>
      </w:r>
      <w:r w:rsidR="00C84E8A" w:rsidRPr="0064135E">
        <w:t xml:space="preserve">2,419.4 </w:t>
      </w:r>
      <w:r w:rsidRPr="0064135E">
        <w:t xml:space="preserve">millones), explicado principalmente por Obligaciones del Estado a cargo del Tesoro que </w:t>
      </w:r>
      <w:r w:rsidR="00C82867" w:rsidRPr="0064135E">
        <w:t>aument</w:t>
      </w:r>
      <w:r w:rsidR="000C150A">
        <w:t>ó</w:t>
      </w:r>
      <w:r w:rsidR="00F212EC">
        <w:t xml:space="preserve"> </w:t>
      </w:r>
      <w:r w:rsidR="000C150A">
        <w:t>su ejecución</w:t>
      </w:r>
      <w:r w:rsidRPr="0064135E">
        <w:t xml:space="preserve"> </w:t>
      </w:r>
      <w:r w:rsidR="00B90731" w:rsidRPr="0064135E">
        <w:t xml:space="preserve">en </w:t>
      </w:r>
      <w:r w:rsidRPr="0064135E">
        <w:t>19</w:t>
      </w:r>
      <w:r w:rsidR="00B90731" w:rsidRPr="0064135E">
        <w:t>.3</w:t>
      </w:r>
      <w:r w:rsidRPr="0064135E">
        <w:t>% (Q</w:t>
      </w:r>
      <w:r w:rsidR="00B90731" w:rsidRPr="0064135E">
        <w:t>903.44</w:t>
      </w:r>
      <w:r w:rsidRPr="0064135E">
        <w:t xml:space="preserve"> millones) </w:t>
      </w:r>
      <w:r w:rsidR="00BD6D5A" w:rsidRPr="0064135E">
        <w:t xml:space="preserve">el pago de remuneraciones </w:t>
      </w:r>
      <w:r w:rsidR="00730CAB" w:rsidRPr="0064135E">
        <w:t xml:space="preserve">(realiza </w:t>
      </w:r>
      <w:r w:rsidRPr="0064135E">
        <w:t xml:space="preserve">el pago por jubilaciones y/o retiros </w:t>
      </w:r>
      <w:r w:rsidR="00730CAB" w:rsidRPr="0064135E">
        <w:t xml:space="preserve"> que </w:t>
      </w:r>
      <w:r w:rsidRPr="0064135E">
        <w:t>forma parte de las contribuciones sociales imputadas de los empleadores</w:t>
      </w:r>
      <w:r w:rsidR="008411F1" w:rsidRPr="0064135E">
        <w:t xml:space="preserve"> además de los aportes a clases pasivas y </w:t>
      </w:r>
      <w:r w:rsidR="00081254" w:rsidRPr="0064135E">
        <w:t>al IGSS</w:t>
      </w:r>
      <w:r w:rsidR="00B81906" w:rsidRPr="0064135E">
        <w:t xml:space="preserve"> que son contribuciones sociales efectivas de empleador</w:t>
      </w:r>
      <w:r w:rsidR="00F620F7">
        <w:t>e</w:t>
      </w:r>
      <w:r w:rsidR="00B81906" w:rsidRPr="0064135E">
        <w:t>s</w:t>
      </w:r>
      <w:r w:rsidRPr="0064135E">
        <w:t>)</w:t>
      </w:r>
      <w:r w:rsidR="00583585" w:rsidRPr="0064135E">
        <w:t xml:space="preserve"> y </w:t>
      </w:r>
      <w:r w:rsidR="00EA70C5" w:rsidRPr="0064135E">
        <w:t>del ministerio de educación que tuvo un crecimiento de</w:t>
      </w:r>
      <w:r w:rsidR="00856F4B" w:rsidRPr="0064135E">
        <w:t xml:space="preserve">l 6.3% </w:t>
      </w:r>
      <w:r w:rsidR="001C4A85" w:rsidRPr="0064135E">
        <w:t>(Q672.9 millones)</w:t>
      </w:r>
      <w:r w:rsidR="00B81906" w:rsidRPr="0064135E">
        <w:t>.</w:t>
      </w:r>
    </w:p>
    <w:p w14:paraId="756C22A3" w14:textId="77777777" w:rsidR="00D27DE5" w:rsidRPr="0064135E" w:rsidRDefault="00D27DE5" w:rsidP="00D27DE5"/>
    <w:p w14:paraId="26AFFAB4" w14:textId="03D5BF49" w:rsidR="00362CC3" w:rsidRPr="0064135E" w:rsidRDefault="00C84E8A" w:rsidP="00362CC3">
      <w:r w:rsidRPr="0064135E">
        <w:rPr>
          <w:rFonts w:cs="Times New Roman"/>
          <w:szCs w:val="22"/>
        </w:rPr>
        <w:t>En cuanto al gasto en u</w:t>
      </w:r>
      <w:r w:rsidR="005B7FE4" w:rsidRPr="0064135E">
        <w:rPr>
          <w:rFonts w:cs="Times New Roman"/>
          <w:szCs w:val="22"/>
        </w:rPr>
        <w:t xml:space="preserve">so de bienes y servicios </w:t>
      </w:r>
      <w:r w:rsidR="00E70957" w:rsidRPr="0064135E">
        <w:rPr>
          <w:rFonts w:cs="Times New Roman"/>
          <w:szCs w:val="22"/>
        </w:rPr>
        <w:t xml:space="preserve">esta cuenta económica </w:t>
      </w:r>
      <w:r w:rsidR="001E65F7" w:rsidRPr="0064135E">
        <w:rPr>
          <w:rFonts w:cs="Times New Roman"/>
          <w:szCs w:val="22"/>
        </w:rPr>
        <w:t xml:space="preserve">asciende a </w:t>
      </w:r>
      <w:r w:rsidR="00362CC3" w:rsidRPr="0064135E">
        <w:rPr>
          <w:rFonts w:cs="Times New Roman"/>
          <w:szCs w:val="22"/>
        </w:rPr>
        <w:t>Q</w:t>
      </w:r>
      <w:r w:rsidR="00A32800" w:rsidRPr="0064135E">
        <w:rPr>
          <w:rFonts w:cs="Times New Roman"/>
          <w:szCs w:val="22"/>
        </w:rPr>
        <w:t xml:space="preserve">11,214.9 </w:t>
      </w:r>
      <w:r w:rsidR="001814B1" w:rsidRPr="0064135E">
        <w:rPr>
          <w:rFonts w:cs="Times New Roman"/>
          <w:szCs w:val="22"/>
        </w:rPr>
        <w:t>millone</w:t>
      </w:r>
      <w:r w:rsidR="007A728F" w:rsidRPr="0064135E">
        <w:rPr>
          <w:rFonts w:cs="Times New Roman"/>
          <w:szCs w:val="22"/>
        </w:rPr>
        <w:t xml:space="preserve">s, teniendo una variación interanual </w:t>
      </w:r>
      <w:r w:rsidR="005B7FE4" w:rsidRPr="0064135E">
        <w:rPr>
          <w:rFonts w:cs="Times New Roman"/>
          <w:szCs w:val="22"/>
        </w:rPr>
        <w:t xml:space="preserve">del </w:t>
      </w:r>
      <w:r w:rsidR="004A7ED4" w:rsidRPr="0064135E">
        <w:rPr>
          <w:rFonts w:cs="Times New Roman"/>
          <w:szCs w:val="22"/>
        </w:rPr>
        <w:t>19.6</w:t>
      </w:r>
      <w:r w:rsidR="005B7FE4" w:rsidRPr="0064135E">
        <w:rPr>
          <w:rFonts w:cs="Times New Roman"/>
          <w:szCs w:val="22"/>
        </w:rPr>
        <w:t>% (Q</w:t>
      </w:r>
      <w:r w:rsidR="004A7ED4" w:rsidRPr="0064135E">
        <w:rPr>
          <w:rFonts w:cs="Times New Roman"/>
          <w:szCs w:val="22"/>
        </w:rPr>
        <w:t xml:space="preserve">1,836.9 </w:t>
      </w:r>
      <w:r w:rsidR="005B7FE4" w:rsidRPr="0064135E">
        <w:rPr>
          <w:rFonts w:cs="Times New Roman"/>
          <w:szCs w:val="22"/>
        </w:rPr>
        <w:t>millones)</w:t>
      </w:r>
      <w:r w:rsidR="001814B1" w:rsidRPr="0064135E">
        <w:rPr>
          <w:rFonts w:cs="Times New Roman"/>
          <w:szCs w:val="22"/>
        </w:rPr>
        <w:t xml:space="preserve">. </w:t>
      </w:r>
      <w:r w:rsidR="006E2B1A" w:rsidRPr="0064135E">
        <w:rPr>
          <w:rFonts w:cs="Times New Roman"/>
          <w:szCs w:val="22"/>
        </w:rPr>
        <w:t>E</w:t>
      </w:r>
      <w:r w:rsidR="000347BC" w:rsidRPr="0064135E">
        <w:rPr>
          <w:rFonts w:cs="Times New Roman"/>
          <w:szCs w:val="22"/>
        </w:rPr>
        <w:t>ste comportamiento</w:t>
      </w:r>
      <w:r w:rsidR="006E2B1A" w:rsidRPr="0064135E">
        <w:rPr>
          <w:rFonts w:cs="Times New Roman"/>
          <w:szCs w:val="22"/>
        </w:rPr>
        <w:t xml:space="preserve"> es</w:t>
      </w:r>
      <w:r w:rsidR="00362CC3" w:rsidRPr="0064135E">
        <w:rPr>
          <w:rFonts w:cs="Times New Roman"/>
          <w:szCs w:val="22"/>
        </w:rPr>
        <w:t xml:space="preserve"> </w:t>
      </w:r>
      <w:r w:rsidR="00362CC3" w:rsidRPr="0064135E">
        <w:t xml:space="preserve">explicado principalmente por </w:t>
      </w:r>
      <w:r w:rsidR="006E2B1A" w:rsidRPr="0064135E">
        <w:t>el gasto</w:t>
      </w:r>
      <w:r w:rsidR="00362CC3" w:rsidRPr="0064135E">
        <w:t xml:space="preserve"> </w:t>
      </w:r>
      <w:r w:rsidR="006E2B1A" w:rsidRPr="0064135E">
        <w:t>en</w:t>
      </w:r>
      <w:r w:rsidR="003913A1" w:rsidRPr="0064135E">
        <w:t xml:space="preserve"> el</w:t>
      </w:r>
      <w:r w:rsidR="006E2B1A" w:rsidRPr="0064135E">
        <w:t xml:space="preserve"> M</w:t>
      </w:r>
      <w:r w:rsidR="00362CC3" w:rsidRPr="0064135E">
        <w:t xml:space="preserve">antenimiento y </w:t>
      </w:r>
      <w:r w:rsidR="006E2B1A" w:rsidRPr="0064135E">
        <w:t>R</w:t>
      </w:r>
      <w:r w:rsidR="00362CC3" w:rsidRPr="0064135E">
        <w:t xml:space="preserve">eparación de </w:t>
      </w:r>
      <w:r w:rsidR="006E2B1A" w:rsidRPr="0064135E">
        <w:t>B</w:t>
      </w:r>
      <w:r w:rsidR="00362CC3" w:rsidRPr="0064135E">
        <w:t xml:space="preserve">ienes </w:t>
      </w:r>
      <w:r w:rsidR="006E2B1A" w:rsidRPr="0064135E">
        <w:t>N</w:t>
      </w:r>
      <w:r w:rsidR="00362CC3" w:rsidRPr="0064135E">
        <w:t xml:space="preserve">acionales de </w:t>
      </w:r>
      <w:r w:rsidR="006E2B1A" w:rsidRPr="0064135E">
        <w:t>U</w:t>
      </w:r>
      <w:r w:rsidR="00362CC3" w:rsidRPr="0064135E">
        <w:t xml:space="preserve">so </w:t>
      </w:r>
      <w:r w:rsidR="006E2B1A" w:rsidRPr="0064135E">
        <w:t>C</w:t>
      </w:r>
      <w:r w:rsidR="00362CC3" w:rsidRPr="0064135E">
        <w:t>omún</w:t>
      </w:r>
      <w:r w:rsidR="006E2B1A" w:rsidRPr="0064135E">
        <w:t xml:space="preserve"> (como carreteras y puentes, en accesorios y repuestos en general</w:t>
      </w:r>
      <w:r w:rsidR="001015F9">
        <w:t>,</w:t>
      </w:r>
      <w:r w:rsidR="006E2B1A" w:rsidRPr="0064135E">
        <w:t xml:space="preserve"> </w:t>
      </w:r>
      <w:r w:rsidR="001F2CA2" w:rsidRPr="0064135E">
        <w:t>entre otros</w:t>
      </w:r>
      <w:r w:rsidR="006E2B1A" w:rsidRPr="0064135E">
        <w:t>)</w:t>
      </w:r>
      <w:r w:rsidR="00362CC3" w:rsidRPr="0064135E">
        <w:t xml:space="preserve"> que </w:t>
      </w:r>
      <w:r w:rsidR="003913A1" w:rsidRPr="0064135E">
        <w:t>se incrementó en</w:t>
      </w:r>
      <w:r w:rsidR="00287733" w:rsidRPr="0064135E">
        <w:t xml:space="preserve"> 51.6%</w:t>
      </w:r>
      <w:r w:rsidR="006E2B1A" w:rsidRPr="0064135E">
        <w:t xml:space="preserve"> </w:t>
      </w:r>
      <w:r w:rsidR="00287733" w:rsidRPr="0064135E">
        <w:t>(</w:t>
      </w:r>
      <w:r w:rsidR="00362CC3" w:rsidRPr="0064135E">
        <w:t>Q</w:t>
      </w:r>
      <w:r w:rsidR="00A024BE" w:rsidRPr="0064135E">
        <w:t>1,899.</w:t>
      </w:r>
      <w:r w:rsidR="00954870" w:rsidRPr="0064135E">
        <w:t>5</w:t>
      </w:r>
      <w:r w:rsidR="00362CC3" w:rsidRPr="0064135E">
        <w:t xml:space="preserve"> millones</w:t>
      </w:r>
      <w:r w:rsidR="00287733" w:rsidRPr="0064135E">
        <w:t>)</w:t>
      </w:r>
      <w:r w:rsidR="00A024BE" w:rsidRPr="0064135E">
        <w:t>.</w:t>
      </w:r>
    </w:p>
    <w:p w14:paraId="6081BB00" w14:textId="77777777" w:rsidR="00287733" w:rsidRPr="0064135E" w:rsidRDefault="00287733" w:rsidP="00362CC3"/>
    <w:p w14:paraId="6C53CF80" w14:textId="3C5DAF22" w:rsidR="00287733" w:rsidRPr="0064135E" w:rsidRDefault="00287733" w:rsidP="00287733">
      <w:r w:rsidRPr="0064135E">
        <w:t>La categoría de otros gastos se sitúa en Q6,582.3 millones teniendo un crecimiento del 21.0% (Q1,140.7 millones) seguido de las prestaciones sociales las cuales ascienden a Q5,795.8 millones y un aumento del 22.4% (Q1,061.9 millones), mientras que el gasto en el pago de intereses</w:t>
      </w:r>
      <w:r w:rsidR="007B52E2" w:rsidRPr="0064135E">
        <w:t xml:space="preserve"> asciende a </w:t>
      </w:r>
      <w:r w:rsidR="00285650" w:rsidRPr="0064135E">
        <w:t>Q9,415.4 millones y su variación interanual</w:t>
      </w:r>
      <w:r w:rsidRPr="0064135E">
        <w:t xml:space="preserve"> </w:t>
      </w:r>
      <w:r w:rsidR="00285650" w:rsidRPr="0064135E">
        <w:t xml:space="preserve">fue del </w:t>
      </w:r>
      <w:r w:rsidRPr="0064135E">
        <w:t>11.4% (Q965.4 millones).</w:t>
      </w:r>
    </w:p>
    <w:p w14:paraId="664C4155" w14:textId="77777777" w:rsidR="00287733" w:rsidRPr="0064135E" w:rsidRDefault="00287733" w:rsidP="00287733"/>
    <w:p w14:paraId="6F27FE4D" w14:textId="77777777" w:rsidR="00287733" w:rsidRPr="0064135E" w:rsidRDefault="00287733" w:rsidP="00362CC3">
      <w:pPr>
        <w:rPr>
          <w:rFonts w:cs="Times New Roman"/>
          <w:color w:val="0070C0"/>
          <w:szCs w:val="22"/>
        </w:rPr>
      </w:pPr>
    </w:p>
    <w:p w14:paraId="63B6803E" w14:textId="59E1EBC3" w:rsidR="00E36EF1" w:rsidRPr="0064135E" w:rsidRDefault="00287733" w:rsidP="00362CC3">
      <w:r w:rsidRPr="0064135E">
        <w:rPr>
          <w:rFonts w:cs="Times New Roman"/>
          <w:noProof/>
          <w:szCs w:val="22"/>
          <w:lang w:eastAsia="es-GT"/>
        </w:rPr>
        <w:lastRenderedPageBreak/>
        <w:drawing>
          <wp:inline distT="0" distB="0" distL="0" distR="0" wp14:anchorId="4B1E8A68" wp14:editId="09F284DA">
            <wp:extent cx="5960745" cy="2201875"/>
            <wp:effectExtent l="0" t="0" r="1905" b="825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1BED09" w14:textId="74C06722" w:rsidR="00287733" w:rsidRPr="0064135E" w:rsidRDefault="00AA2F71" w:rsidP="00287733">
      <w:r w:rsidRPr="0064135E">
        <w:t>E</w:t>
      </w:r>
      <w:r w:rsidR="00287733" w:rsidRPr="0064135E">
        <w:t xml:space="preserve">l gasto en subsidios es </w:t>
      </w:r>
      <w:r w:rsidRPr="0064135E">
        <w:t xml:space="preserve">la única cuenta económica </w:t>
      </w:r>
      <w:r w:rsidR="00287733" w:rsidRPr="0064135E">
        <w:t xml:space="preserve">que presenta una disminución interanual, </w:t>
      </w:r>
      <w:r w:rsidRPr="0064135E">
        <w:t xml:space="preserve">al tercer trimestre muestra una </w:t>
      </w:r>
      <w:r w:rsidR="00287733" w:rsidRPr="0064135E">
        <w:t xml:space="preserve">ejecución de Q1,105.5 millones </w:t>
      </w:r>
      <w:r w:rsidR="00FC37F4" w:rsidRPr="0064135E">
        <w:t>y esta es</w:t>
      </w:r>
      <w:r w:rsidR="00287733" w:rsidRPr="0064135E">
        <w:t xml:space="preserve"> </w:t>
      </w:r>
      <w:r w:rsidR="00FC37F4" w:rsidRPr="0064135E">
        <w:t>menor en un</w:t>
      </w:r>
      <w:r w:rsidR="00287733" w:rsidRPr="0064135E">
        <w:t xml:space="preserve"> 66.2% (Q2,170.0 millones)</w:t>
      </w:r>
      <w:r w:rsidR="00FC37F4" w:rsidRPr="0064135E">
        <w:t xml:space="preserve"> respecto al año previo. Cabe mencionar que</w:t>
      </w:r>
      <w:r w:rsidR="00287733" w:rsidRPr="0064135E">
        <w:t xml:space="preserve"> </w:t>
      </w:r>
      <w:r w:rsidR="00FF6310">
        <w:t xml:space="preserve">en </w:t>
      </w:r>
      <w:r w:rsidR="00287733" w:rsidRPr="0064135E">
        <w:t xml:space="preserve">el </w:t>
      </w:r>
      <w:r w:rsidR="000F2A25">
        <w:t>2022</w:t>
      </w:r>
      <w:r w:rsidR="00287733" w:rsidRPr="0064135E">
        <w:t xml:space="preserve"> esta cuenta estaba fuertemente influenciad</w:t>
      </w:r>
      <w:r w:rsidR="00FC37F4" w:rsidRPr="0064135E">
        <w:t>a</w:t>
      </w:r>
      <w:r w:rsidR="00287733" w:rsidRPr="0064135E">
        <w:t xml:space="preserve"> por el aporte </w:t>
      </w:r>
      <w:r w:rsidR="00FC37F4" w:rsidRPr="0064135E">
        <w:t>que otorgó</w:t>
      </w:r>
      <w:r w:rsidR="00287733" w:rsidRPr="0064135E">
        <w:t xml:space="preserve"> el gobierno para reducir los precios de los combustibles ante el alza de los precios internacional.</w:t>
      </w:r>
    </w:p>
    <w:p w14:paraId="0F299060" w14:textId="54F4B26C" w:rsidR="007220CD" w:rsidRPr="0064135E" w:rsidRDefault="007220CD" w:rsidP="00107B97">
      <w:pPr>
        <w:tabs>
          <w:tab w:val="left" w:pos="1803"/>
        </w:tabs>
        <w:rPr>
          <w:rFonts w:cs="Times New Roman"/>
          <w:szCs w:val="22"/>
        </w:rPr>
      </w:pPr>
    </w:p>
    <w:p w14:paraId="4E1E7B91" w14:textId="77777777" w:rsidR="008B2529" w:rsidRPr="0064135E" w:rsidRDefault="006122C1" w:rsidP="008B2529">
      <w:pPr>
        <w:pStyle w:val="Prrafodelista"/>
        <w:numPr>
          <w:ilvl w:val="0"/>
          <w:numId w:val="1"/>
        </w:numPr>
        <w:ind w:left="426" w:hanging="426"/>
        <w:outlineLvl w:val="0"/>
        <w:rPr>
          <w:rFonts w:cs="Times New Roman"/>
          <w:b/>
          <w:sz w:val="24"/>
          <w:lang w:val="es-MX"/>
        </w:rPr>
      </w:pPr>
      <w:bookmarkStart w:id="500" w:name="_Toc42023961"/>
      <w:bookmarkStart w:id="501" w:name="_Toc42024013"/>
      <w:bookmarkStart w:id="502" w:name="_Toc152139320"/>
      <w:bookmarkStart w:id="503" w:name="_Toc411347499"/>
      <w:bookmarkEnd w:id="500"/>
      <w:bookmarkEnd w:id="501"/>
      <w:r w:rsidRPr="0064135E">
        <w:rPr>
          <w:rFonts w:cs="Times New Roman"/>
          <w:b/>
          <w:sz w:val="24"/>
          <w:lang w:val="es-MX"/>
        </w:rPr>
        <w:t xml:space="preserve">Transacciones en Activos </w:t>
      </w:r>
      <w:r w:rsidR="00F4077C" w:rsidRPr="0064135E">
        <w:rPr>
          <w:rFonts w:cs="Times New Roman"/>
          <w:b/>
          <w:sz w:val="24"/>
          <w:lang w:val="es-MX"/>
        </w:rPr>
        <w:t>No Financieros</w:t>
      </w:r>
      <w:bookmarkEnd w:id="502"/>
    </w:p>
    <w:p w14:paraId="0277483D" w14:textId="77777777" w:rsidR="00A72A8F" w:rsidRPr="0064135E" w:rsidRDefault="006E4C13" w:rsidP="00C17472">
      <w:pPr>
        <w:rPr>
          <w:rFonts w:cs="Times New Roman"/>
          <w:sz w:val="24"/>
          <w:lang w:val="es-MX"/>
        </w:rPr>
      </w:pPr>
      <w:r w:rsidRPr="0064135E">
        <w:rPr>
          <w:rFonts w:eastAsiaTheme="majorEastAsia"/>
          <w:noProof/>
          <w:lang w:eastAsia="es-GT"/>
        </w:rPr>
        <w:drawing>
          <wp:inline distT="0" distB="0" distL="0" distR="0" wp14:anchorId="442F73B6" wp14:editId="7EFD020C">
            <wp:extent cx="5836920" cy="876300"/>
            <wp:effectExtent l="76200" t="38100" r="87630" b="1333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98DD560" w14:textId="77777777" w:rsidR="00961E5E" w:rsidRPr="0064135E" w:rsidRDefault="00961E5E" w:rsidP="00961E5E">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504" w:name="_Toc33109793"/>
      <w:bookmarkStart w:id="505" w:name="_Toc33109836"/>
      <w:bookmarkStart w:id="506" w:name="_Toc33180557"/>
      <w:bookmarkStart w:id="507" w:name="_Toc33180651"/>
      <w:bookmarkStart w:id="508" w:name="_Toc33193548"/>
      <w:bookmarkStart w:id="509" w:name="_Toc33193587"/>
      <w:bookmarkStart w:id="510" w:name="_Toc33196784"/>
      <w:bookmarkStart w:id="511" w:name="_Toc40691760"/>
      <w:bookmarkStart w:id="512" w:name="_Toc40959160"/>
      <w:bookmarkStart w:id="513" w:name="_Toc40975994"/>
      <w:bookmarkStart w:id="514" w:name="_Toc40976063"/>
      <w:bookmarkStart w:id="515" w:name="_Toc40993318"/>
      <w:bookmarkStart w:id="516" w:name="_Toc40993700"/>
      <w:bookmarkStart w:id="517" w:name="_Toc41037576"/>
      <w:bookmarkStart w:id="518" w:name="_Toc41254136"/>
      <w:bookmarkStart w:id="519" w:name="_Toc41254168"/>
      <w:bookmarkStart w:id="520" w:name="_Toc41254188"/>
      <w:bookmarkStart w:id="521" w:name="_Toc42023964"/>
      <w:bookmarkStart w:id="522" w:name="_Toc42024015"/>
      <w:bookmarkStart w:id="523" w:name="_Toc42069112"/>
      <w:bookmarkStart w:id="524" w:name="_Toc49422058"/>
      <w:bookmarkStart w:id="525" w:name="_Toc49422084"/>
      <w:bookmarkStart w:id="526" w:name="_Toc49430663"/>
      <w:bookmarkStart w:id="527" w:name="_Toc49430689"/>
      <w:bookmarkStart w:id="528" w:name="_Toc49750466"/>
      <w:bookmarkStart w:id="529" w:name="_Toc49750716"/>
      <w:bookmarkStart w:id="530" w:name="_Toc49750744"/>
      <w:bookmarkStart w:id="531" w:name="_Toc55284830"/>
      <w:bookmarkStart w:id="532" w:name="_Toc55298848"/>
      <w:bookmarkStart w:id="533" w:name="_Toc55373829"/>
      <w:bookmarkStart w:id="534" w:name="_Toc55374002"/>
      <w:bookmarkStart w:id="535" w:name="_Toc55375139"/>
      <w:bookmarkStart w:id="536" w:name="_Toc55396547"/>
      <w:bookmarkStart w:id="537" w:name="_Toc65230544"/>
      <w:bookmarkStart w:id="538" w:name="_Toc65230782"/>
      <w:bookmarkStart w:id="539" w:name="_Toc65232066"/>
      <w:bookmarkStart w:id="540" w:name="_Toc65232311"/>
      <w:bookmarkStart w:id="541" w:name="_Toc66716170"/>
      <w:bookmarkStart w:id="542" w:name="_Toc71097214"/>
      <w:bookmarkStart w:id="543" w:name="_Toc71097245"/>
      <w:bookmarkStart w:id="544" w:name="_Toc71097320"/>
      <w:bookmarkStart w:id="545" w:name="_Toc71108060"/>
      <w:bookmarkStart w:id="546" w:name="_Toc79055254"/>
      <w:bookmarkStart w:id="547" w:name="_Toc79055285"/>
      <w:bookmarkStart w:id="548" w:name="_Toc79060176"/>
      <w:bookmarkStart w:id="549" w:name="_Toc79060463"/>
      <w:bookmarkStart w:id="550" w:name="_Toc81307820"/>
      <w:bookmarkStart w:id="551" w:name="_Toc83376481"/>
      <w:bookmarkStart w:id="552" w:name="_Toc86386720"/>
      <w:bookmarkStart w:id="553" w:name="_Toc86405406"/>
      <w:bookmarkStart w:id="554" w:name="_Toc98162436"/>
      <w:bookmarkStart w:id="555" w:name="_Toc98162468"/>
      <w:bookmarkStart w:id="556" w:name="_Toc98234994"/>
      <w:bookmarkStart w:id="557" w:name="_Toc98235189"/>
      <w:bookmarkStart w:id="558" w:name="_Toc98235274"/>
      <w:bookmarkStart w:id="559" w:name="_Toc98757144"/>
      <w:bookmarkStart w:id="560" w:name="_Toc101874699"/>
      <w:bookmarkStart w:id="561" w:name="_Toc101954155"/>
      <w:bookmarkStart w:id="562" w:name="_Toc101971972"/>
      <w:bookmarkStart w:id="563" w:name="_Toc101974064"/>
      <w:bookmarkStart w:id="564" w:name="_Toc102039749"/>
      <w:bookmarkStart w:id="565" w:name="_Toc102039787"/>
      <w:bookmarkStart w:id="566" w:name="_Toc102039827"/>
      <w:bookmarkStart w:id="567" w:name="_Toc102039858"/>
      <w:bookmarkStart w:id="568" w:name="_Toc102040916"/>
      <w:bookmarkStart w:id="569" w:name="_Toc102477764"/>
      <w:bookmarkStart w:id="570" w:name="_Toc102477795"/>
      <w:bookmarkStart w:id="571" w:name="_Toc109824825"/>
      <w:bookmarkStart w:id="572" w:name="_Toc109828781"/>
      <w:bookmarkStart w:id="573" w:name="_Toc109828844"/>
      <w:bookmarkStart w:id="574" w:name="_Toc109829020"/>
      <w:bookmarkStart w:id="575" w:name="_Toc109829051"/>
      <w:bookmarkStart w:id="576" w:name="_Toc109833895"/>
      <w:bookmarkStart w:id="577" w:name="_Toc110237438"/>
      <w:bookmarkStart w:id="578" w:name="_Toc117775315"/>
      <w:bookmarkStart w:id="579" w:name="_Toc117781284"/>
      <w:bookmarkStart w:id="580" w:name="_Toc125620813"/>
      <w:bookmarkStart w:id="581" w:name="_Toc125620844"/>
      <w:bookmarkStart w:id="582" w:name="_Toc125620875"/>
      <w:bookmarkStart w:id="583" w:name="_Toc125620911"/>
      <w:bookmarkStart w:id="584" w:name="_Toc125620942"/>
      <w:bookmarkStart w:id="585" w:name="_Toc125620975"/>
      <w:bookmarkStart w:id="586" w:name="_Toc125621028"/>
      <w:bookmarkStart w:id="587" w:name="_Toc125621082"/>
      <w:bookmarkStart w:id="588" w:name="_Toc125623560"/>
      <w:bookmarkStart w:id="589" w:name="_Toc125623592"/>
      <w:bookmarkStart w:id="590" w:name="_Toc125623624"/>
      <w:bookmarkStart w:id="591" w:name="_Toc125970370"/>
      <w:bookmarkStart w:id="592" w:name="_Toc125970402"/>
      <w:bookmarkStart w:id="593" w:name="_Toc127365853"/>
      <w:bookmarkStart w:id="594" w:name="_Toc127434604"/>
      <w:bookmarkStart w:id="595" w:name="_Toc127436972"/>
      <w:bookmarkStart w:id="596" w:name="_Toc127437333"/>
      <w:bookmarkStart w:id="597" w:name="_Toc127437688"/>
      <w:bookmarkStart w:id="598" w:name="_Toc133492782"/>
      <w:bookmarkStart w:id="599" w:name="_Toc133492979"/>
      <w:bookmarkStart w:id="600" w:name="_Toc133493201"/>
      <w:bookmarkStart w:id="601" w:name="_Toc133497835"/>
      <w:bookmarkStart w:id="602" w:name="_Toc133505555"/>
      <w:bookmarkStart w:id="603" w:name="_Toc133576133"/>
      <w:bookmarkStart w:id="604" w:name="_Toc133576205"/>
      <w:bookmarkStart w:id="605" w:name="_Toc133576238"/>
      <w:bookmarkStart w:id="606" w:name="_Toc133576270"/>
      <w:bookmarkStart w:id="607" w:name="_Toc133576302"/>
      <w:bookmarkStart w:id="608" w:name="_Toc133576334"/>
      <w:bookmarkStart w:id="609" w:name="_Toc133576387"/>
      <w:bookmarkStart w:id="610" w:name="_Toc133576421"/>
      <w:bookmarkStart w:id="611" w:name="_Toc133576454"/>
      <w:bookmarkStart w:id="612" w:name="_Toc133576487"/>
      <w:bookmarkStart w:id="613" w:name="_Toc141108746"/>
      <w:bookmarkStart w:id="614" w:name="_Toc141172987"/>
      <w:bookmarkStart w:id="615" w:name="_Toc141277684"/>
      <w:bookmarkStart w:id="616" w:name="_Toc141277716"/>
      <w:bookmarkStart w:id="617" w:name="_Toc141430930"/>
      <w:bookmarkStart w:id="618" w:name="_Toc152073592"/>
      <w:bookmarkStart w:id="619" w:name="_Toc152073626"/>
      <w:bookmarkStart w:id="620" w:name="_Toc152073659"/>
      <w:bookmarkStart w:id="621" w:name="_Toc152073710"/>
      <w:bookmarkStart w:id="622" w:name="_Toc152073743"/>
      <w:bookmarkStart w:id="623" w:name="_Toc152073775"/>
      <w:bookmarkStart w:id="624" w:name="_Toc152073807"/>
      <w:bookmarkStart w:id="625" w:name="_Toc152073904"/>
      <w:bookmarkStart w:id="626" w:name="_Toc152073955"/>
      <w:bookmarkStart w:id="627" w:name="_Toc152073998"/>
      <w:bookmarkStart w:id="628" w:name="_Toc152074085"/>
      <w:bookmarkStart w:id="629" w:name="_Toc152074276"/>
      <w:bookmarkStart w:id="630" w:name="_Toc152074307"/>
      <w:bookmarkStart w:id="631" w:name="_Toc152087702"/>
      <w:bookmarkStart w:id="632" w:name="_Toc152139321"/>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29EF7396" w14:textId="77777777" w:rsidR="00961E5E" w:rsidRPr="0064135E" w:rsidRDefault="00961E5E" w:rsidP="00961E5E">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633" w:name="_Toc152074086"/>
      <w:bookmarkStart w:id="634" w:name="_Toc152074277"/>
      <w:bookmarkStart w:id="635" w:name="_Toc152074308"/>
      <w:bookmarkStart w:id="636" w:name="_Toc152087703"/>
      <w:bookmarkStart w:id="637" w:name="_Toc152139322"/>
      <w:bookmarkEnd w:id="633"/>
      <w:bookmarkEnd w:id="634"/>
      <w:bookmarkEnd w:id="635"/>
      <w:bookmarkEnd w:id="636"/>
      <w:bookmarkEnd w:id="637"/>
    </w:p>
    <w:p w14:paraId="344D0036" w14:textId="77777777" w:rsidR="00961E5E" w:rsidRPr="0064135E" w:rsidRDefault="00961E5E" w:rsidP="00961E5E">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638" w:name="_Toc152074087"/>
      <w:bookmarkStart w:id="639" w:name="_Toc152074278"/>
      <w:bookmarkStart w:id="640" w:name="_Toc152074309"/>
      <w:bookmarkStart w:id="641" w:name="_Toc152087704"/>
      <w:bookmarkStart w:id="642" w:name="_Toc152139323"/>
      <w:bookmarkEnd w:id="638"/>
      <w:bookmarkEnd w:id="639"/>
      <w:bookmarkEnd w:id="640"/>
      <w:bookmarkEnd w:id="641"/>
      <w:bookmarkEnd w:id="642"/>
    </w:p>
    <w:p w14:paraId="36A443F6" w14:textId="62320740" w:rsidR="000F462B" w:rsidRPr="0064135E" w:rsidRDefault="00135A1B" w:rsidP="00961E5E">
      <w:pPr>
        <w:pStyle w:val="Ttulo2"/>
        <w:numPr>
          <w:ilvl w:val="1"/>
          <w:numId w:val="12"/>
        </w:numPr>
        <w:tabs>
          <w:tab w:val="left" w:pos="426"/>
        </w:tabs>
        <w:spacing w:before="0"/>
        <w:rPr>
          <w:rFonts w:ascii="Times New Roman" w:hAnsi="Times New Roman" w:cs="Times New Roman"/>
          <w:color w:val="auto"/>
          <w:sz w:val="24"/>
        </w:rPr>
      </w:pPr>
      <w:bookmarkStart w:id="643" w:name="_Toc152139324"/>
      <w:r w:rsidRPr="0064135E">
        <w:rPr>
          <w:rFonts w:ascii="Times New Roman" w:hAnsi="Times New Roman" w:cs="Times New Roman"/>
          <w:color w:val="auto"/>
          <w:sz w:val="24"/>
        </w:rPr>
        <w:t>Aumenta la inversió</w:t>
      </w:r>
      <w:r w:rsidR="00C20344" w:rsidRPr="0064135E">
        <w:rPr>
          <w:rFonts w:ascii="Times New Roman" w:hAnsi="Times New Roman" w:cs="Times New Roman"/>
          <w:color w:val="auto"/>
          <w:sz w:val="24"/>
        </w:rPr>
        <w:t>n</w:t>
      </w:r>
      <w:bookmarkEnd w:id="643"/>
    </w:p>
    <w:p w14:paraId="6053CD67" w14:textId="1DAD4F69" w:rsidR="002B316B" w:rsidRPr="0064135E" w:rsidRDefault="002B316B" w:rsidP="002B316B">
      <w:pPr>
        <w:rPr>
          <w:rFonts w:cs="Times New Roman"/>
          <w:szCs w:val="22"/>
        </w:rPr>
      </w:pPr>
      <w:r w:rsidRPr="0064135E">
        <w:rPr>
          <w:rFonts w:cs="Times New Roman"/>
          <w:szCs w:val="22"/>
        </w:rPr>
        <w:t xml:space="preserve">La inversión bruta en activos no financieros </w:t>
      </w:r>
      <w:r w:rsidR="00660500" w:rsidRPr="0064135E">
        <w:rPr>
          <w:rFonts w:cs="Times New Roman"/>
          <w:szCs w:val="22"/>
        </w:rPr>
        <w:t>al tercer trimestre</w:t>
      </w:r>
      <w:r w:rsidR="00AB666C" w:rsidRPr="0064135E">
        <w:rPr>
          <w:rFonts w:cs="Times New Roman"/>
          <w:szCs w:val="22"/>
        </w:rPr>
        <w:t xml:space="preserve"> </w:t>
      </w:r>
      <w:r w:rsidR="0034727F" w:rsidRPr="0064135E">
        <w:rPr>
          <w:rFonts w:cs="Times New Roman"/>
          <w:szCs w:val="22"/>
        </w:rPr>
        <w:t xml:space="preserve">se sitúa en </w:t>
      </w:r>
      <w:r w:rsidR="00AB666C" w:rsidRPr="0064135E">
        <w:rPr>
          <w:rFonts w:cs="Times New Roman"/>
          <w:szCs w:val="22"/>
        </w:rPr>
        <w:t>Q</w:t>
      </w:r>
      <w:r w:rsidR="0034727F" w:rsidRPr="0064135E">
        <w:rPr>
          <w:rFonts w:cs="Times New Roman"/>
          <w:szCs w:val="22"/>
        </w:rPr>
        <w:t xml:space="preserve">3,586.8 </w:t>
      </w:r>
      <w:r w:rsidRPr="0064135E">
        <w:rPr>
          <w:rFonts w:cs="Times New Roman"/>
          <w:szCs w:val="22"/>
        </w:rPr>
        <w:t>millones</w:t>
      </w:r>
      <w:r w:rsidR="00756F34">
        <w:rPr>
          <w:rFonts w:cs="Times New Roman"/>
          <w:szCs w:val="22"/>
        </w:rPr>
        <w:t xml:space="preserve">, </w:t>
      </w:r>
      <w:r w:rsidR="00F212EC">
        <w:rPr>
          <w:rFonts w:cs="Times New Roman"/>
          <w:szCs w:val="22"/>
        </w:rPr>
        <w:t xml:space="preserve">mostrando </w:t>
      </w:r>
      <w:r w:rsidR="00F212EC" w:rsidRPr="0064135E">
        <w:rPr>
          <w:rFonts w:cs="Times New Roman"/>
          <w:szCs w:val="22"/>
        </w:rPr>
        <w:t>un</w:t>
      </w:r>
      <w:r w:rsidR="00A4424E" w:rsidRPr="0064135E">
        <w:rPr>
          <w:rFonts w:cs="Times New Roman"/>
          <w:szCs w:val="22"/>
        </w:rPr>
        <w:t xml:space="preserve"> incremento </w:t>
      </w:r>
      <w:r w:rsidRPr="0064135E">
        <w:rPr>
          <w:rFonts w:cs="Times New Roman"/>
          <w:szCs w:val="22"/>
        </w:rPr>
        <w:t>de</w:t>
      </w:r>
      <w:r w:rsidR="0042467B" w:rsidRPr="0064135E">
        <w:rPr>
          <w:rFonts w:cs="Times New Roman"/>
          <w:szCs w:val="22"/>
        </w:rPr>
        <w:t>l</w:t>
      </w:r>
      <w:r w:rsidRPr="0064135E">
        <w:rPr>
          <w:rFonts w:cs="Times New Roman"/>
          <w:szCs w:val="22"/>
        </w:rPr>
        <w:t xml:space="preserve"> </w:t>
      </w:r>
      <w:r w:rsidR="00577ED0" w:rsidRPr="0064135E">
        <w:rPr>
          <w:rFonts w:cs="Times New Roman"/>
          <w:szCs w:val="22"/>
        </w:rPr>
        <w:t>41.2</w:t>
      </w:r>
      <w:r w:rsidRPr="0064135E">
        <w:rPr>
          <w:rFonts w:cs="Times New Roman"/>
          <w:szCs w:val="22"/>
        </w:rPr>
        <w:t>% (Q</w:t>
      </w:r>
      <w:r w:rsidR="00577ED0" w:rsidRPr="0064135E">
        <w:t xml:space="preserve"> </w:t>
      </w:r>
      <w:r w:rsidR="00577ED0" w:rsidRPr="0064135E">
        <w:rPr>
          <w:rFonts w:cs="Times New Roman"/>
          <w:szCs w:val="22"/>
        </w:rPr>
        <w:t xml:space="preserve">1,046.5 </w:t>
      </w:r>
      <w:r w:rsidRPr="0064135E">
        <w:rPr>
          <w:rFonts w:cs="Times New Roman"/>
          <w:szCs w:val="22"/>
        </w:rPr>
        <w:t xml:space="preserve">millones) respecto </w:t>
      </w:r>
      <w:r w:rsidR="00AB666C" w:rsidRPr="0064135E">
        <w:rPr>
          <w:rFonts w:cs="Times New Roman"/>
          <w:szCs w:val="22"/>
        </w:rPr>
        <w:t>a</w:t>
      </w:r>
      <w:r w:rsidRPr="0064135E">
        <w:rPr>
          <w:rFonts w:cs="Times New Roman"/>
          <w:szCs w:val="22"/>
        </w:rPr>
        <w:t xml:space="preserve">l mismo periodo del año anterior. </w:t>
      </w:r>
      <w:r w:rsidR="004715D0" w:rsidRPr="0064135E">
        <w:rPr>
          <w:rFonts w:cs="Times New Roman"/>
          <w:szCs w:val="22"/>
        </w:rPr>
        <w:t xml:space="preserve">En esta cuenta, la </w:t>
      </w:r>
      <w:r w:rsidRPr="0064135E">
        <w:rPr>
          <w:rFonts w:cs="Times New Roman"/>
          <w:szCs w:val="22"/>
        </w:rPr>
        <w:t xml:space="preserve">inversión realizada </w:t>
      </w:r>
      <w:r w:rsidR="003B473B" w:rsidRPr="0064135E">
        <w:rPr>
          <w:rFonts w:cs="Times New Roman"/>
          <w:szCs w:val="22"/>
        </w:rPr>
        <w:t xml:space="preserve">en </w:t>
      </w:r>
      <w:r w:rsidRPr="0064135E">
        <w:rPr>
          <w:rFonts w:cs="Times New Roman"/>
          <w:szCs w:val="22"/>
        </w:rPr>
        <w:t xml:space="preserve">edificios y estructuras </w:t>
      </w:r>
      <w:r w:rsidR="004715D0" w:rsidRPr="0064135E">
        <w:rPr>
          <w:rFonts w:cs="Times New Roman"/>
          <w:szCs w:val="22"/>
        </w:rPr>
        <w:t xml:space="preserve">se sitúa en </w:t>
      </w:r>
      <w:r w:rsidRPr="0064135E">
        <w:rPr>
          <w:rFonts w:cs="Times New Roman"/>
          <w:szCs w:val="22"/>
        </w:rPr>
        <w:t>Q</w:t>
      </w:r>
      <w:r w:rsidR="007E5409" w:rsidRPr="0064135E">
        <w:rPr>
          <w:rFonts w:cs="Times New Roman"/>
          <w:szCs w:val="22"/>
        </w:rPr>
        <w:t xml:space="preserve">2,968.5 </w:t>
      </w:r>
      <w:r w:rsidRPr="0064135E">
        <w:rPr>
          <w:rFonts w:cs="Times New Roman"/>
          <w:szCs w:val="22"/>
        </w:rPr>
        <w:t>millones</w:t>
      </w:r>
      <w:r w:rsidR="00756F34">
        <w:rPr>
          <w:rFonts w:cs="Times New Roman"/>
          <w:szCs w:val="22"/>
        </w:rPr>
        <w:t>,</w:t>
      </w:r>
      <w:r w:rsidR="007E5409" w:rsidRPr="0064135E">
        <w:rPr>
          <w:rFonts w:cs="Times New Roman"/>
          <w:szCs w:val="22"/>
        </w:rPr>
        <w:t xml:space="preserve"> con un aumento interanual del 50</w:t>
      </w:r>
      <w:r w:rsidR="00155803" w:rsidRPr="0064135E">
        <w:rPr>
          <w:rFonts w:cs="Times New Roman"/>
          <w:szCs w:val="22"/>
        </w:rPr>
        <w:t>.</w:t>
      </w:r>
      <w:r w:rsidR="007E5409" w:rsidRPr="0064135E">
        <w:rPr>
          <w:rFonts w:cs="Times New Roman"/>
          <w:szCs w:val="22"/>
        </w:rPr>
        <w:t>1</w:t>
      </w:r>
      <w:r w:rsidRPr="0064135E">
        <w:rPr>
          <w:rFonts w:cs="Times New Roman"/>
          <w:szCs w:val="22"/>
        </w:rPr>
        <w:t>% (Q</w:t>
      </w:r>
      <w:r w:rsidR="007E5409" w:rsidRPr="0064135E">
        <w:rPr>
          <w:rFonts w:cs="Times New Roman"/>
          <w:szCs w:val="22"/>
        </w:rPr>
        <w:t>990.3</w:t>
      </w:r>
      <w:r w:rsidRPr="0064135E">
        <w:rPr>
          <w:rFonts w:cs="Times New Roman"/>
          <w:szCs w:val="22"/>
        </w:rPr>
        <w:t xml:space="preserve"> millones)</w:t>
      </w:r>
      <w:r w:rsidR="0042467B" w:rsidRPr="0064135E">
        <w:rPr>
          <w:rFonts w:cs="Times New Roman"/>
          <w:szCs w:val="22"/>
        </w:rPr>
        <w:t xml:space="preserve"> y</w:t>
      </w:r>
      <w:r w:rsidRPr="0064135E">
        <w:rPr>
          <w:rFonts w:cs="Times New Roman"/>
          <w:szCs w:val="22"/>
        </w:rPr>
        <w:t xml:space="preserve"> explica</w:t>
      </w:r>
      <w:r w:rsidR="007211E8" w:rsidRPr="0064135E">
        <w:rPr>
          <w:rFonts w:cs="Times New Roman"/>
          <w:szCs w:val="22"/>
        </w:rPr>
        <w:t>do</w:t>
      </w:r>
      <w:r w:rsidRPr="0064135E">
        <w:rPr>
          <w:rFonts w:cs="Times New Roman"/>
          <w:szCs w:val="22"/>
        </w:rPr>
        <w:t xml:space="preserve"> principalmente por </w:t>
      </w:r>
      <w:r w:rsidR="004C202D" w:rsidRPr="0064135E">
        <w:rPr>
          <w:rFonts w:cs="Times New Roman"/>
          <w:szCs w:val="22"/>
        </w:rPr>
        <w:t>las</w:t>
      </w:r>
      <w:r w:rsidRPr="0064135E">
        <w:rPr>
          <w:rFonts w:cs="Times New Roman"/>
          <w:szCs w:val="22"/>
        </w:rPr>
        <w:t xml:space="preserve"> </w:t>
      </w:r>
      <w:r w:rsidR="00122298">
        <w:rPr>
          <w:rFonts w:cs="Times New Roman"/>
          <w:szCs w:val="22"/>
        </w:rPr>
        <w:t>C</w:t>
      </w:r>
      <w:r w:rsidR="0042467B" w:rsidRPr="0064135E">
        <w:rPr>
          <w:rFonts w:cs="Times New Roman"/>
          <w:szCs w:val="22"/>
        </w:rPr>
        <w:t>onstrucciones de bienes nacionales de uso común</w:t>
      </w:r>
      <w:r w:rsidRPr="0064135E">
        <w:rPr>
          <w:rFonts w:cs="Times New Roman"/>
          <w:szCs w:val="22"/>
        </w:rPr>
        <w:t xml:space="preserve"> (que incluye las construcciones y ampliaciones de carreteras y puentes, entre otros) </w:t>
      </w:r>
      <w:r w:rsidR="0078153D" w:rsidRPr="0064135E">
        <w:rPr>
          <w:rFonts w:cs="Times New Roman"/>
          <w:szCs w:val="22"/>
        </w:rPr>
        <w:t>que aument</w:t>
      </w:r>
      <w:r w:rsidR="00756F34">
        <w:rPr>
          <w:rFonts w:cs="Times New Roman"/>
          <w:szCs w:val="22"/>
        </w:rPr>
        <w:t>ó</w:t>
      </w:r>
      <w:r w:rsidR="0078153D" w:rsidRPr="0064135E">
        <w:rPr>
          <w:rFonts w:cs="Times New Roman"/>
          <w:szCs w:val="22"/>
        </w:rPr>
        <w:t xml:space="preserve"> en </w:t>
      </w:r>
      <w:r w:rsidR="002C61E5" w:rsidRPr="0064135E">
        <w:rPr>
          <w:rFonts w:cs="Times New Roman"/>
          <w:szCs w:val="22"/>
        </w:rPr>
        <w:t xml:space="preserve">21.7% (Q343.8 millones) y </w:t>
      </w:r>
      <w:r w:rsidR="00C15C9C" w:rsidRPr="0064135E">
        <w:rPr>
          <w:rFonts w:cs="Times New Roman"/>
          <w:szCs w:val="22"/>
        </w:rPr>
        <w:t>las</w:t>
      </w:r>
      <w:r w:rsidRPr="0064135E">
        <w:rPr>
          <w:rFonts w:cs="Times New Roman"/>
          <w:szCs w:val="22"/>
        </w:rPr>
        <w:t xml:space="preserve"> </w:t>
      </w:r>
      <w:r w:rsidR="00122298">
        <w:rPr>
          <w:rFonts w:cs="Times New Roman"/>
          <w:szCs w:val="22"/>
        </w:rPr>
        <w:t>C</w:t>
      </w:r>
      <w:r w:rsidR="0042467B" w:rsidRPr="0064135E">
        <w:rPr>
          <w:rFonts w:cs="Times New Roman"/>
          <w:szCs w:val="22"/>
        </w:rPr>
        <w:t xml:space="preserve">onstrucciones de bienes nacionales de uso no común </w:t>
      </w:r>
      <w:r w:rsidRPr="0064135E">
        <w:rPr>
          <w:rFonts w:cs="Times New Roman"/>
          <w:szCs w:val="22"/>
        </w:rPr>
        <w:t xml:space="preserve">(que considera la construcción de escuelas, hospitales y edificios, entre otros) </w:t>
      </w:r>
      <w:r w:rsidR="00F200F6">
        <w:rPr>
          <w:rFonts w:cs="Times New Roman"/>
          <w:szCs w:val="22"/>
        </w:rPr>
        <w:t xml:space="preserve">que </w:t>
      </w:r>
      <w:r w:rsidR="002C61E5" w:rsidRPr="0064135E">
        <w:rPr>
          <w:rFonts w:cs="Times New Roman"/>
          <w:szCs w:val="22"/>
        </w:rPr>
        <w:t>aument</w:t>
      </w:r>
      <w:r w:rsidR="00756F34">
        <w:rPr>
          <w:rFonts w:cs="Times New Roman"/>
          <w:szCs w:val="22"/>
        </w:rPr>
        <w:t>aron</w:t>
      </w:r>
      <w:r w:rsidR="002C61E5" w:rsidRPr="0064135E">
        <w:rPr>
          <w:rFonts w:cs="Times New Roman"/>
          <w:szCs w:val="22"/>
        </w:rPr>
        <w:t xml:space="preserve"> en un </w:t>
      </w:r>
      <w:r w:rsidR="006735D1" w:rsidRPr="0064135E">
        <w:rPr>
          <w:rFonts w:cs="Times New Roman"/>
          <w:szCs w:val="22"/>
        </w:rPr>
        <w:t>165.0</w:t>
      </w:r>
      <w:r w:rsidR="00E072E6" w:rsidRPr="0064135E">
        <w:rPr>
          <w:rFonts w:cs="Times New Roman"/>
          <w:szCs w:val="22"/>
        </w:rPr>
        <w:t>% (Q</w:t>
      </w:r>
      <w:r w:rsidR="006735D1" w:rsidRPr="0064135E">
        <w:rPr>
          <w:rFonts w:cs="Times New Roman"/>
          <w:szCs w:val="22"/>
        </w:rPr>
        <w:t>551.9</w:t>
      </w:r>
      <w:r w:rsidR="009C5800" w:rsidRPr="0064135E">
        <w:rPr>
          <w:rFonts w:cs="Times New Roman"/>
          <w:szCs w:val="22"/>
        </w:rPr>
        <w:t xml:space="preserve"> millones)</w:t>
      </w:r>
      <w:r w:rsidRPr="0064135E">
        <w:rPr>
          <w:rFonts w:cs="Times New Roman"/>
          <w:szCs w:val="22"/>
        </w:rPr>
        <w:t>.</w:t>
      </w:r>
    </w:p>
    <w:p w14:paraId="09FBC4F5" w14:textId="77777777" w:rsidR="002B316B" w:rsidRPr="0064135E" w:rsidRDefault="002B316B" w:rsidP="002B316B">
      <w:pPr>
        <w:rPr>
          <w:rFonts w:cs="Times New Roman"/>
          <w:szCs w:val="22"/>
        </w:rPr>
      </w:pPr>
    </w:p>
    <w:p w14:paraId="3A279263" w14:textId="132A0DFD" w:rsidR="00EC6A25" w:rsidRPr="0064135E" w:rsidRDefault="002B316B" w:rsidP="002B316B">
      <w:pPr>
        <w:rPr>
          <w:rFonts w:cs="Times New Roman"/>
          <w:szCs w:val="22"/>
        </w:rPr>
      </w:pPr>
      <w:r w:rsidRPr="0064135E">
        <w:rPr>
          <w:rFonts w:cs="Times New Roman"/>
          <w:szCs w:val="22"/>
        </w:rPr>
        <w:t xml:space="preserve">Por su parte, la inversión </w:t>
      </w:r>
      <w:r w:rsidR="00577ED0" w:rsidRPr="0064135E">
        <w:rPr>
          <w:rFonts w:cs="Times New Roman"/>
          <w:szCs w:val="22"/>
        </w:rPr>
        <w:t>realizada en</w:t>
      </w:r>
      <w:r w:rsidRPr="0064135E">
        <w:rPr>
          <w:rFonts w:cs="Times New Roman"/>
          <w:szCs w:val="22"/>
        </w:rPr>
        <w:t xml:space="preserve"> maquinaria y equipo fue de </w:t>
      </w:r>
      <w:r w:rsidR="009F345D" w:rsidRPr="0064135E">
        <w:rPr>
          <w:rFonts w:cs="Times New Roman"/>
          <w:szCs w:val="22"/>
        </w:rPr>
        <w:t>Q591.2 millones</w:t>
      </w:r>
      <w:r w:rsidR="00756F34">
        <w:rPr>
          <w:rFonts w:cs="Times New Roman"/>
          <w:szCs w:val="22"/>
        </w:rPr>
        <w:t xml:space="preserve">, </w:t>
      </w:r>
      <w:r w:rsidR="00FF6310">
        <w:rPr>
          <w:rFonts w:cs="Times New Roman"/>
          <w:szCs w:val="22"/>
        </w:rPr>
        <w:t>mostró</w:t>
      </w:r>
      <w:r w:rsidR="00FF6310" w:rsidRPr="0064135E">
        <w:rPr>
          <w:rFonts w:cs="Times New Roman"/>
          <w:szCs w:val="22"/>
        </w:rPr>
        <w:t xml:space="preserve"> </w:t>
      </w:r>
      <w:r w:rsidR="00FF6310">
        <w:rPr>
          <w:rFonts w:cs="Times New Roman"/>
          <w:szCs w:val="22"/>
        </w:rPr>
        <w:t>un</w:t>
      </w:r>
      <w:r w:rsidRPr="0064135E">
        <w:rPr>
          <w:rFonts w:cs="Times New Roman"/>
          <w:szCs w:val="22"/>
        </w:rPr>
        <w:t xml:space="preserve"> incremento del </w:t>
      </w:r>
      <w:r w:rsidR="00203C5B" w:rsidRPr="0064135E">
        <w:rPr>
          <w:rFonts w:cs="Times New Roman"/>
          <w:szCs w:val="22"/>
        </w:rPr>
        <w:t>6.</w:t>
      </w:r>
      <w:r w:rsidR="00842F2E" w:rsidRPr="0064135E">
        <w:rPr>
          <w:rFonts w:cs="Times New Roman"/>
          <w:szCs w:val="22"/>
        </w:rPr>
        <w:t>6</w:t>
      </w:r>
      <w:r w:rsidRPr="0064135E">
        <w:rPr>
          <w:rFonts w:cs="Times New Roman"/>
          <w:szCs w:val="22"/>
        </w:rPr>
        <w:t>% (Q</w:t>
      </w:r>
      <w:r w:rsidR="00842F2E" w:rsidRPr="0064135E">
        <w:rPr>
          <w:rFonts w:cs="Times New Roman"/>
          <w:szCs w:val="22"/>
        </w:rPr>
        <w:t>36.7</w:t>
      </w:r>
      <w:r w:rsidRPr="0064135E">
        <w:rPr>
          <w:rFonts w:cs="Times New Roman"/>
          <w:szCs w:val="22"/>
        </w:rPr>
        <w:t xml:space="preserve"> millones) respecto al año anterior</w:t>
      </w:r>
      <w:r w:rsidR="00486AC6" w:rsidRPr="0064135E">
        <w:rPr>
          <w:rFonts w:cs="Times New Roman"/>
          <w:szCs w:val="22"/>
        </w:rPr>
        <w:t>.</w:t>
      </w:r>
    </w:p>
    <w:p w14:paraId="60675D19" w14:textId="16A352C7" w:rsidR="00A90ED3" w:rsidRPr="0064135E" w:rsidRDefault="00A90ED3" w:rsidP="00CD34D6">
      <w:pPr>
        <w:rPr>
          <w:rFonts w:cs="Times New Roman"/>
          <w:szCs w:val="22"/>
        </w:rPr>
      </w:pPr>
      <w:r w:rsidRPr="0064135E">
        <w:rPr>
          <w:rFonts w:cs="Times New Roman"/>
          <w:noProof/>
          <w:szCs w:val="22"/>
          <w:lang w:eastAsia="es-GT"/>
        </w:rPr>
        <w:drawing>
          <wp:inline distT="0" distB="0" distL="0" distR="0" wp14:anchorId="12AB5EFB" wp14:editId="159351FA">
            <wp:extent cx="6011545" cy="1814169"/>
            <wp:effectExtent l="0" t="0" r="8255" b="152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48E987" w14:textId="6B35A0AF" w:rsidR="000F794A" w:rsidRPr="0064135E" w:rsidRDefault="001D54E4" w:rsidP="00D709CE">
      <w:pPr>
        <w:pStyle w:val="Prrafodelista"/>
        <w:numPr>
          <w:ilvl w:val="0"/>
          <w:numId w:val="1"/>
        </w:numPr>
        <w:ind w:left="426" w:hanging="426"/>
        <w:outlineLvl w:val="0"/>
        <w:rPr>
          <w:rFonts w:cs="Times New Roman"/>
          <w:b/>
          <w:sz w:val="24"/>
          <w:lang w:val="es-MX"/>
        </w:rPr>
      </w:pPr>
      <w:bookmarkStart w:id="644" w:name="_Toc42023966"/>
      <w:bookmarkStart w:id="645" w:name="_Toc42024017"/>
      <w:bookmarkStart w:id="646" w:name="_Toc42023967"/>
      <w:bookmarkStart w:id="647" w:name="_Toc42024018"/>
      <w:bookmarkStart w:id="648" w:name="_Toc152139325"/>
      <w:bookmarkEnd w:id="644"/>
      <w:bookmarkEnd w:id="645"/>
      <w:bookmarkEnd w:id="646"/>
      <w:bookmarkEnd w:id="647"/>
      <w:r w:rsidRPr="0064135E">
        <w:rPr>
          <w:rFonts w:cs="Times New Roman"/>
          <w:b/>
          <w:sz w:val="24"/>
          <w:lang w:val="es-MX"/>
        </w:rPr>
        <w:lastRenderedPageBreak/>
        <w:t>Financiamiento</w:t>
      </w:r>
      <w:bookmarkEnd w:id="648"/>
    </w:p>
    <w:p w14:paraId="5287581E" w14:textId="77777777" w:rsidR="000F19C1" w:rsidRPr="0064135E" w:rsidRDefault="000F19C1" w:rsidP="000F19C1">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649" w:name="_Toc55374005"/>
      <w:bookmarkStart w:id="650" w:name="_Toc55375142"/>
      <w:bookmarkStart w:id="651" w:name="_Toc55396550"/>
      <w:bookmarkStart w:id="652" w:name="_Toc65230547"/>
      <w:bookmarkStart w:id="653" w:name="_Toc65230785"/>
      <w:bookmarkStart w:id="654" w:name="_Toc65232069"/>
      <w:bookmarkStart w:id="655" w:name="_Toc65232314"/>
      <w:bookmarkStart w:id="656" w:name="_Toc66716173"/>
      <w:bookmarkStart w:id="657" w:name="_Toc71097217"/>
      <w:bookmarkStart w:id="658" w:name="_Toc71097248"/>
      <w:bookmarkStart w:id="659" w:name="_Toc71097323"/>
      <w:bookmarkStart w:id="660" w:name="_Toc71108063"/>
      <w:bookmarkStart w:id="661" w:name="_Toc79055257"/>
      <w:bookmarkStart w:id="662" w:name="_Toc79055288"/>
      <w:bookmarkStart w:id="663" w:name="_Toc79060179"/>
      <w:bookmarkStart w:id="664" w:name="_Toc79060466"/>
      <w:bookmarkStart w:id="665" w:name="_Toc81307823"/>
      <w:bookmarkStart w:id="666" w:name="_Toc83376484"/>
      <w:bookmarkStart w:id="667" w:name="_Toc86386723"/>
      <w:bookmarkStart w:id="668" w:name="_Toc86405409"/>
      <w:bookmarkStart w:id="669" w:name="_Toc98162439"/>
      <w:bookmarkStart w:id="670" w:name="_Toc98162471"/>
      <w:bookmarkStart w:id="671" w:name="_Toc98234997"/>
      <w:bookmarkStart w:id="672" w:name="_Toc98235192"/>
      <w:bookmarkStart w:id="673" w:name="_Toc98235277"/>
      <w:bookmarkStart w:id="674" w:name="_Toc98757147"/>
      <w:bookmarkStart w:id="675" w:name="_Toc101874702"/>
      <w:bookmarkStart w:id="676" w:name="_Toc101954158"/>
      <w:bookmarkStart w:id="677" w:name="_Toc101971975"/>
      <w:bookmarkStart w:id="678" w:name="_Toc101974067"/>
      <w:bookmarkStart w:id="679" w:name="_Toc102039752"/>
      <w:bookmarkStart w:id="680" w:name="_Toc102039790"/>
      <w:bookmarkStart w:id="681" w:name="_Toc102039830"/>
      <w:bookmarkStart w:id="682" w:name="_Toc102039861"/>
      <w:bookmarkStart w:id="683" w:name="_Toc102040919"/>
      <w:bookmarkStart w:id="684" w:name="_Toc102477767"/>
      <w:bookmarkStart w:id="685" w:name="_Toc102477798"/>
      <w:bookmarkStart w:id="686" w:name="_Toc109824828"/>
      <w:bookmarkStart w:id="687" w:name="_Toc109828784"/>
      <w:bookmarkStart w:id="688" w:name="_Toc109828847"/>
      <w:bookmarkStart w:id="689" w:name="_Toc109829023"/>
      <w:bookmarkStart w:id="690" w:name="_Toc109829054"/>
      <w:bookmarkStart w:id="691" w:name="_Toc109833898"/>
      <w:bookmarkStart w:id="692" w:name="_Toc110237441"/>
      <w:bookmarkStart w:id="693" w:name="_Toc117775318"/>
      <w:bookmarkStart w:id="694" w:name="_Toc117781287"/>
      <w:bookmarkStart w:id="695" w:name="_Toc125620816"/>
      <w:bookmarkStart w:id="696" w:name="_Toc125620847"/>
      <w:bookmarkStart w:id="697" w:name="_Toc125620878"/>
      <w:bookmarkStart w:id="698" w:name="_Toc125620914"/>
      <w:bookmarkStart w:id="699" w:name="_Toc125620945"/>
      <w:bookmarkStart w:id="700" w:name="_Toc125620978"/>
      <w:bookmarkStart w:id="701" w:name="_Toc125621031"/>
      <w:bookmarkStart w:id="702" w:name="_Toc125621085"/>
      <w:bookmarkStart w:id="703" w:name="_Toc125623563"/>
      <w:bookmarkStart w:id="704" w:name="_Toc125623595"/>
      <w:bookmarkStart w:id="705" w:name="_Toc125623627"/>
      <w:bookmarkStart w:id="706" w:name="_Toc125970373"/>
      <w:bookmarkStart w:id="707" w:name="_Toc125970405"/>
      <w:bookmarkStart w:id="708" w:name="_Toc127365856"/>
      <w:bookmarkStart w:id="709" w:name="_Toc127434607"/>
      <w:bookmarkStart w:id="710" w:name="_Toc127436975"/>
      <w:bookmarkStart w:id="711" w:name="_Toc127437336"/>
      <w:bookmarkStart w:id="712" w:name="_Toc127437691"/>
      <w:bookmarkStart w:id="713" w:name="_Toc133492785"/>
      <w:bookmarkStart w:id="714" w:name="_Toc133492982"/>
      <w:bookmarkStart w:id="715" w:name="_Toc133493204"/>
      <w:bookmarkStart w:id="716" w:name="_Toc133497838"/>
      <w:bookmarkStart w:id="717" w:name="_Toc133505558"/>
      <w:bookmarkStart w:id="718" w:name="_Toc133576136"/>
      <w:bookmarkStart w:id="719" w:name="_Toc133576208"/>
      <w:bookmarkStart w:id="720" w:name="_Toc133576241"/>
      <w:bookmarkStart w:id="721" w:name="_Toc133576273"/>
      <w:bookmarkStart w:id="722" w:name="_Toc133576305"/>
      <w:bookmarkStart w:id="723" w:name="_Toc133576337"/>
      <w:bookmarkStart w:id="724" w:name="_Toc133576390"/>
      <w:bookmarkStart w:id="725" w:name="_Toc133576424"/>
      <w:bookmarkStart w:id="726" w:name="_Toc133576457"/>
      <w:bookmarkStart w:id="727" w:name="_Toc133576490"/>
      <w:bookmarkStart w:id="728" w:name="_Toc141108749"/>
      <w:bookmarkStart w:id="729" w:name="_Toc141172990"/>
      <w:bookmarkStart w:id="730" w:name="_Toc141277687"/>
      <w:bookmarkStart w:id="731" w:name="_Toc141277719"/>
      <w:bookmarkStart w:id="732" w:name="_Toc141430933"/>
      <w:bookmarkStart w:id="733" w:name="_Toc152073595"/>
      <w:bookmarkStart w:id="734" w:name="_Toc152073629"/>
      <w:bookmarkStart w:id="735" w:name="_Toc152073662"/>
      <w:bookmarkStart w:id="736" w:name="_Toc152073713"/>
      <w:bookmarkStart w:id="737" w:name="_Toc152073746"/>
      <w:bookmarkStart w:id="738" w:name="_Toc152073778"/>
      <w:bookmarkStart w:id="739" w:name="_Toc152073810"/>
      <w:bookmarkStart w:id="740" w:name="_Toc152073907"/>
      <w:bookmarkStart w:id="741" w:name="_Toc152073958"/>
      <w:bookmarkStart w:id="742" w:name="_Toc152074001"/>
      <w:bookmarkStart w:id="743" w:name="_Toc152074090"/>
      <w:bookmarkStart w:id="744" w:name="_Toc152074281"/>
      <w:bookmarkStart w:id="745" w:name="_Toc152074312"/>
      <w:bookmarkStart w:id="746" w:name="_Toc152087707"/>
      <w:bookmarkStart w:id="747" w:name="_Toc152139326"/>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52D94915" w14:textId="72A21246" w:rsidR="00E44C78" w:rsidRPr="0064135E" w:rsidRDefault="00F1706A" w:rsidP="00E44C78">
      <w:pPr>
        <w:pStyle w:val="Ttulo2"/>
        <w:numPr>
          <w:ilvl w:val="1"/>
          <w:numId w:val="12"/>
        </w:numPr>
        <w:tabs>
          <w:tab w:val="left" w:pos="426"/>
        </w:tabs>
        <w:spacing w:before="0"/>
        <w:rPr>
          <w:rFonts w:ascii="Times New Roman" w:hAnsi="Times New Roman" w:cs="Times New Roman"/>
          <w:color w:val="auto"/>
          <w:sz w:val="24"/>
        </w:rPr>
      </w:pPr>
      <w:bookmarkStart w:id="748" w:name="_Toc152139327"/>
      <w:r w:rsidRPr="0064135E">
        <w:rPr>
          <w:rFonts w:ascii="Times New Roman" w:hAnsi="Times New Roman" w:cs="Times New Roman"/>
          <w:color w:val="auto"/>
          <w:sz w:val="24"/>
        </w:rPr>
        <w:t>Se redujeron los activos financieros</w:t>
      </w:r>
      <w:bookmarkEnd w:id="748"/>
    </w:p>
    <w:p w14:paraId="2DEE9A2F" w14:textId="358813C6" w:rsidR="009F6CEB" w:rsidRPr="0064135E" w:rsidRDefault="009D3974" w:rsidP="00F46ECF">
      <w:r w:rsidRPr="0064135E">
        <w:t>En cuanto al financiamiento, los</w:t>
      </w:r>
      <w:r w:rsidR="0060201F" w:rsidRPr="0064135E">
        <w:t xml:space="preserve"> activos financieros mostraron</w:t>
      </w:r>
      <w:r w:rsidR="00F22D7E" w:rsidRPr="0064135E">
        <w:t xml:space="preserve"> un</w:t>
      </w:r>
      <w:r w:rsidR="00412D30" w:rsidRPr="0064135E">
        <w:t>a</w:t>
      </w:r>
      <w:r w:rsidR="0060201F" w:rsidRPr="0064135E">
        <w:t xml:space="preserve"> </w:t>
      </w:r>
      <w:r w:rsidR="00412D30" w:rsidRPr="0064135E">
        <w:t xml:space="preserve">disminución </w:t>
      </w:r>
      <w:r w:rsidR="0060201F" w:rsidRPr="0064135E">
        <w:t>de Q</w:t>
      </w:r>
      <w:r w:rsidR="001F00C4" w:rsidRPr="0064135E">
        <w:t>2,669.7 millones</w:t>
      </w:r>
      <w:r w:rsidR="00412D30" w:rsidRPr="0064135E">
        <w:t xml:space="preserve"> al finalizar el tercer trimestre</w:t>
      </w:r>
      <w:r w:rsidR="00103537" w:rsidRPr="0064135E">
        <w:t xml:space="preserve">. El </w:t>
      </w:r>
      <w:r w:rsidR="00FF1378" w:rsidRPr="0064135E">
        <w:t>instrumento</w:t>
      </w:r>
      <w:r w:rsidR="00103537" w:rsidRPr="0064135E">
        <w:t xml:space="preserve"> </w:t>
      </w:r>
      <w:r w:rsidR="00FF1378" w:rsidRPr="0064135E">
        <w:t xml:space="preserve">que tuvo la mayor disminución fue </w:t>
      </w:r>
      <w:r w:rsidR="0060201F" w:rsidRPr="0064135E">
        <w:t>la cuenta de billetes, monedas y depósitos (caja y bancos)</w:t>
      </w:r>
      <w:r w:rsidR="002F2932" w:rsidRPr="0064135E">
        <w:t>,</w:t>
      </w:r>
      <w:r w:rsidR="00D52E47" w:rsidRPr="0064135E">
        <w:t xml:space="preserve"> </w:t>
      </w:r>
      <w:r w:rsidR="0040206F">
        <w:t xml:space="preserve">por </w:t>
      </w:r>
      <w:r w:rsidR="0060201F" w:rsidRPr="0064135E">
        <w:t>Q</w:t>
      </w:r>
      <w:r w:rsidR="0035786A" w:rsidRPr="0064135E">
        <w:t>2,615.7</w:t>
      </w:r>
      <w:r w:rsidR="0060201F" w:rsidRPr="0064135E">
        <w:t xml:space="preserve"> millones</w:t>
      </w:r>
      <w:r w:rsidR="001015F9">
        <w:t>,</w:t>
      </w:r>
      <w:r w:rsidR="00035461" w:rsidRPr="0064135E">
        <w:t xml:space="preserve"> mientras que los activos en forma de </w:t>
      </w:r>
      <w:r w:rsidR="0060201F" w:rsidRPr="0064135E">
        <w:t>préstamos disminuyeron en Q</w:t>
      </w:r>
      <w:r w:rsidR="00035461" w:rsidRPr="0064135E">
        <w:t>54.0</w:t>
      </w:r>
      <w:r w:rsidR="0060201F" w:rsidRPr="0064135E">
        <w:t xml:space="preserve"> millones</w:t>
      </w:r>
      <w:r w:rsidR="00756F34">
        <w:t>,</w:t>
      </w:r>
      <w:r w:rsidR="0060201F" w:rsidRPr="0064135E">
        <w:t xml:space="preserve"> </w:t>
      </w:r>
      <w:r w:rsidR="00EF1A1D" w:rsidRPr="0064135E">
        <w:t>principalmente por</w:t>
      </w:r>
      <w:r w:rsidR="0060201F" w:rsidRPr="0064135E">
        <w:t xml:space="preserve"> </w:t>
      </w:r>
      <w:r w:rsidR="00EF1A1D" w:rsidRPr="0064135E">
        <w:t>l</w:t>
      </w:r>
      <w:r w:rsidR="0060201F" w:rsidRPr="0064135E">
        <w:t>a recuperación de los préstamos otorgados a través del fideicomiso del Fondo de Desarrollo de la Microempresa, Pequeña y Mediana Empresa.</w:t>
      </w:r>
    </w:p>
    <w:p w14:paraId="7B42A803" w14:textId="6C604AC6" w:rsidR="001E71BF" w:rsidRPr="0064135E" w:rsidRDefault="001E71BF" w:rsidP="001E71BF">
      <w:pPr>
        <w:rPr>
          <w:rFonts w:cs="Times New Roman"/>
          <w:sz w:val="16"/>
          <w:szCs w:val="22"/>
          <w:lang w:val="es-MX"/>
        </w:rPr>
      </w:pPr>
    </w:p>
    <w:tbl>
      <w:tblPr>
        <w:tblStyle w:val="Tablaconcuadrcula"/>
        <w:tblW w:w="9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8"/>
        <w:gridCol w:w="3726"/>
      </w:tblGrid>
      <w:tr w:rsidR="00AA1560" w:rsidRPr="0064135E" w14:paraId="21073FD5" w14:textId="77777777" w:rsidTr="00AA1560">
        <w:trPr>
          <w:trHeight w:val="7"/>
          <w:jc w:val="center"/>
        </w:trPr>
        <w:tc>
          <w:tcPr>
            <w:tcW w:w="9344" w:type="dxa"/>
            <w:gridSpan w:val="2"/>
          </w:tcPr>
          <w:p w14:paraId="60184A79" w14:textId="467486B2" w:rsidR="00AA1560" w:rsidRPr="0064135E" w:rsidRDefault="00AA1560" w:rsidP="00AA1560">
            <w:pPr>
              <w:jc w:val="center"/>
              <w:rPr>
                <w:b/>
                <w:bCs/>
              </w:rPr>
            </w:pPr>
            <w:r w:rsidRPr="0064135E">
              <w:rPr>
                <w:b/>
                <w:bCs/>
              </w:rPr>
              <w:t xml:space="preserve">Incurrimiento neto de activos financieros a </w:t>
            </w:r>
            <w:r w:rsidR="0052502E" w:rsidRPr="0064135E">
              <w:rPr>
                <w:b/>
                <w:bCs/>
              </w:rPr>
              <w:t>septiembre</w:t>
            </w:r>
            <w:r w:rsidRPr="0064135E">
              <w:rPr>
                <w:b/>
                <w:bCs/>
              </w:rPr>
              <w:t xml:space="preserve"> de 2023*</w:t>
            </w:r>
          </w:p>
          <w:p w14:paraId="3B3CA809" w14:textId="3FE800AB" w:rsidR="00AA1560" w:rsidRPr="0064135E" w:rsidRDefault="00AA1560" w:rsidP="00AA1560">
            <w:pPr>
              <w:jc w:val="center"/>
            </w:pPr>
            <w:r w:rsidRPr="0064135E">
              <w:rPr>
                <w:sz w:val="20"/>
                <w:szCs w:val="22"/>
              </w:rPr>
              <w:t>En millones de quetzales y porcentajes</w:t>
            </w:r>
          </w:p>
        </w:tc>
      </w:tr>
      <w:tr w:rsidR="00AA1560" w:rsidRPr="0064135E" w14:paraId="795AFFEB" w14:textId="77777777" w:rsidTr="00BB0417">
        <w:trPr>
          <w:trHeight w:val="109"/>
          <w:jc w:val="center"/>
        </w:trPr>
        <w:tc>
          <w:tcPr>
            <w:tcW w:w="5618" w:type="dxa"/>
            <w:tcBorders>
              <w:right w:val="single" w:sz="4" w:space="0" w:color="auto"/>
            </w:tcBorders>
            <w:shd w:val="clear" w:color="auto" w:fill="auto"/>
          </w:tcPr>
          <w:p w14:paraId="2E288AB3" w14:textId="01523901" w:rsidR="00AA1560" w:rsidRPr="0064135E" w:rsidRDefault="00AA1560" w:rsidP="00766C34">
            <w:r w:rsidRPr="0064135E">
              <w:rPr>
                <w:b/>
                <w:bCs/>
                <w:noProof/>
                <w:lang w:eastAsia="es-GT"/>
              </w:rPr>
              <w:drawing>
                <wp:inline distT="0" distB="0" distL="0" distR="0" wp14:anchorId="4A617ECE" wp14:editId="212A3D04">
                  <wp:extent cx="3365500" cy="2143354"/>
                  <wp:effectExtent l="0" t="0" r="6350" b="9525"/>
                  <wp:docPr id="104748677" name="Gráfico 104748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726" w:type="dxa"/>
            <w:tcBorders>
              <w:left w:val="single" w:sz="4" w:space="0" w:color="auto"/>
            </w:tcBorders>
          </w:tcPr>
          <w:p w14:paraId="645DB0F8" w14:textId="102101A4" w:rsidR="00AA1560" w:rsidRPr="0064135E" w:rsidRDefault="00AA1560" w:rsidP="00766C34">
            <w:pPr>
              <w:ind w:right="-183"/>
            </w:pPr>
            <w:r w:rsidRPr="0064135E">
              <w:rPr>
                <w:noProof/>
                <w:lang w:eastAsia="es-GT"/>
              </w:rPr>
              <w:drawing>
                <wp:inline distT="0" distB="0" distL="0" distR="0" wp14:anchorId="5D489F55" wp14:editId="4FA71425">
                  <wp:extent cx="2266950" cy="2033270"/>
                  <wp:effectExtent l="0" t="0" r="0" b="5080"/>
                  <wp:docPr id="5574826" name="Gráfico 5574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A1560" w:rsidRPr="0064135E" w14:paraId="4D79B516" w14:textId="77777777" w:rsidTr="00BB0417">
        <w:trPr>
          <w:trHeight w:val="109"/>
          <w:jc w:val="center"/>
        </w:trPr>
        <w:tc>
          <w:tcPr>
            <w:tcW w:w="5618" w:type="dxa"/>
            <w:shd w:val="clear" w:color="auto" w:fill="auto"/>
          </w:tcPr>
          <w:p w14:paraId="29478265" w14:textId="5528AB2C" w:rsidR="00AA1560" w:rsidRPr="0064135E" w:rsidRDefault="00AA1560" w:rsidP="00C20344">
            <w:pPr>
              <w:rPr>
                <w:noProof/>
                <w:lang w:eastAsia="es-GT"/>
              </w:rPr>
            </w:pPr>
          </w:p>
        </w:tc>
        <w:tc>
          <w:tcPr>
            <w:tcW w:w="3726" w:type="dxa"/>
          </w:tcPr>
          <w:p w14:paraId="37623435" w14:textId="77777777" w:rsidR="00AA1560" w:rsidRPr="0064135E" w:rsidRDefault="00AA1560" w:rsidP="00766C34">
            <w:pPr>
              <w:ind w:right="-183"/>
              <w:rPr>
                <w:noProof/>
              </w:rPr>
            </w:pPr>
          </w:p>
        </w:tc>
      </w:tr>
    </w:tbl>
    <w:p w14:paraId="19F7C5EB" w14:textId="03D05113" w:rsidR="0079227F" w:rsidRPr="0064135E" w:rsidRDefault="00612853" w:rsidP="0039579C">
      <w:pPr>
        <w:pStyle w:val="Ttulo2"/>
        <w:numPr>
          <w:ilvl w:val="1"/>
          <w:numId w:val="12"/>
        </w:numPr>
        <w:tabs>
          <w:tab w:val="left" w:pos="426"/>
        </w:tabs>
        <w:spacing w:before="0"/>
        <w:rPr>
          <w:rFonts w:ascii="Times New Roman" w:hAnsi="Times New Roman" w:cs="Times New Roman"/>
          <w:color w:val="auto"/>
          <w:sz w:val="24"/>
        </w:rPr>
      </w:pPr>
      <w:bookmarkStart w:id="749" w:name="_Toc152139328"/>
      <w:r w:rsidRPr="0064135E">
        <w:rPr>
          <w:rFonts w:ascii="Times New Roman" w:hAnsi="Times New Roman" w:cs="Times New Roman"/>
          <w:color w:val="auto"/>
          <w:sz w:val="24"/>
        </w:rPr>
        <w:t>Aumento de los pasivos como fuente de financiamiento</w:t>
      </w:r>
      <w:bookmarkEnd w:id="749"/>
    </w:p>
    <w:p w14:paraId="19EACB41" w14:textId="25340F63" w:rsidR="00D35B9B" w:rsidRPr="0064135E" w:rsidRDefault="004E1E55" w:rsidP="00122F2F">
      <w:pPr>
        <w:rPr>
          <w:rFonts w:cs="Times New Roman"/>
        </w:rPr>
      </w:pPr>
      <w:r w:rsidRPr="0064135E">
        <w:t>L</w:t>
      </w:r>
      <w:r w:rsidR="00876E82" w:rsidRPr="0064135E">
        <w:t>os pasivos financieros</w:t>
      </w:r>
      <w:r w:rsidRPr="0064135E">
        <w:t xml:space="preserve"> al finalizar el tercer trimestre</w:t>
      </w:r>
      <w:r w:rsidR="00876E82" w:rsidRPr="0064135E">
        <w:t xml:space="preserve"> se incrementaron en Q</w:t>
      </w:r>
      <w:r w:rsidRPr="0064135E">
        <w:t xml:space="preserve">4,052.8 </w:t>
      </w:r>
      <w:r w:rsidR="00876E82" w:rsidRPr="0064135E">
        <w:t>millones</w:t>
      </w:r>
      <w:r w:rsidR="00153BAA" w:rsidRPr="0064135E">
        <w:t xml:space="preserve"> en el cual cabe mencionar que el uso de títulos de deuda han sido los </w:t>
      </w:r>
      <w:r w:rsidR="00876E82" w:rsidRPr="0064135E">
        <w:t>instrumentos</w:t>
      </w:r>
      <w:r w:rsidR="00153BAA" w:rsidRPr="0064135E">
        <w:t xml:space="preserve"> principales de financiamiento</w:t>
      </w:r>
      <w:r w:rsidR="00D96FF7" w:rsidRPr="0064135E">
        <w:t>,</w:t>
      </w:r>
      <w:r w:rsidR="00153BAA" w:rsidRPr="0064135E">
        <w:t xml:space="preserve"> </w:t>
      </w:r>
      <w:r w:rsidR="00D96FF7" w:rsidRPr="0064135E">
        <w:t>teniendo</w:t>
      </w:r>
      <w:r w:rsidR="00153BAA" w:rsidRPr="0064135E">
        <w:t xml:space="preserve"> un</w:t>
      </w:r>
      <w:r w:rsidR="00876E82" w:rsidRPr="0064135E">
        <w:t xml:space="preserve"> incremento </w:t>
      </w:r>
      <w:r w:rsidR="00D96FF7" w:rsidRPr="0064135E">
        <w:t>de</w:t>
      </w:r>
      <w:r w:rsidR="00153BAA" w:rsidRPr="0064135E">
        <w:t xml:space="preserve"> </w:t>
      </w:r>
      <w:r w:rsidR="00876E82" w:rsidRPr="0064135E">
        <w:t>Q</w:t>
      </w:r>
      <w:r w:rsidR="00153BAA" w:rsidRPr="0064135E">
        <w:t xml:space="preserve">5,258.1 </w:t>
      </w:r>
      <w:r w:rsidR="00876E82" w:rsidRPr="0064135E">
        <w:t>millones</w:t>
      </w:r>
      <w:r w:rsidR="001015F9">
        <w:t>,</w:t>
      </w:r>
      <w:r w:rsidR="00BE6DB2" w:rsidRPr="0064135E">
        <w:t xml:space="preserve"> mientras que</w:t>
      </w:r>
      <w:r w:rsidR="00876E82" w:rsidRPr="0064135E">
        <w:t xml:space="preserve"> los préstamos</w:t>
      </w:r>
      <w:r w:rsidR="00BE6DB2" w:rsidRPr="0064135E">
        <w:t xml:space="preserve"> </w:t>
      </w:r>
      <w:r w:rsidR="0099770C" w:rsidRPr="0064135E">
        <w:t>tuvieron una reducción (amortización)</w:t>
      </w:r>
      <w:r w:rsidR="00876E82" w:rsidRPr="0064135E">
        <w:t xml:space="preserve"> </w:t>
      </w:r>
      <w:r w:rsidR="00E70E19" w:rsidRPr="0064135E">
        <w:t xml:space="preserve">por </w:t>
      </w:r>
      <w:r w:rsidR="00876E82" w:rsidRPr="0064135E">
        <w:t>Q</w:t>
      </w:r>
      <w:r w:rsidR="000B0440" w:rsidRPr="0064135E">
        <w:t>1,136.7 millones</w:t>
      </w:r>
      <w:r w:rsidR="0099770C" w:rsidRPr="0064135E">
        <w:t xml:space="preserve"> y las </w:t>
      </w:r>
      <w:r w:rsidR="00876E82" w:rsidRPr="0064135E">
        <w:t>cuentas por pagar se redujeron en Q</w:t>
      </w:r>
      <w:r w:rsidR="00636FC0" w:rsidRPr="0064135E">
        <w:t>68.8</w:t>
      </w:r>
      <w:r w:rsidR="00876E82" w:rsidRPr="0064135E">
        <w:t xml:space="preserve"> millones.</w:t>
      </w:r>
    </w:p>
    <w:p w14:paraId="714C04F3" w14:textId="77777777" w:rsidR="00D35B9B" w:rsidRPr="0064135E" w:rsidRDefault="00D35B9B" w:rsidP="00122F2F"/>
    <w:tbl>
      <w:tblPr>
        <w:tblStyle w:val="Tablaconcuadrcula"/>
        <w:tblW w:w="94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4"/>
        <w:gridCol w:w="3750"/>
      </w:tblGrid>
      <w:tr w:rsidR="0061446B" w:rsidRPr="0064135E" w14:paraId="170F85A0" w14:textId="77777777" w:rsidTr="009C7D1A">
        <w:trPr>
          <w:trHeight w:val="3"/>
          <w:jc w:val="center"/>
        </w:trPr>
        <w:tc>
          <w:tcPr>
            <w:tcW w:w="9404" w:type="dxa"/>
            <w:gridSpan w:val="2"/>
          </w:tcPr>
          <w:p w14:paraId="53CD2781" w14:textId="387F0390" w:rsidR="0061446B" w:rsidRPr="0064135E" w:rsidRDefault="0061446B" w:rsidP="00E34A48">
            <w:pPr>
              <w:jc w:val="center"/>
              <w:rPr>
                <w:b/>
                <w:bCs/>
              </w:rPr>
            </w:pPr>
            <w:r w:rsidRPr="0064135E">
              <w:rPr>
                <w:b/>
                <w:bCs/>
              </w:rPr>
              <w:t>Incurrimiento neto de pasivos</w:t>
            </w:r>
            <w:r w:rsidR="009D176B" w:rsidRPr="0064135E">
              <w:rPr>
                <w:b/>
                <w:bCs/>
              </w:rPr>
              <w:t xml:space="preserve"> </w:t>
            </w:r>
            <w:r w:rsidR="00B435E7" w:rsidRPr="0064135E">
              <w:rPr>
                <w:b/>
                <w:bCs/>
              </w:rPr>
              <w:t>a</w:t>
            </w:r>
            <w:r w:rsidR="00BD5430" w:rsidRPr="0064135E">
              <w:rPr>
                <w:b/>
                <w:bCs/>
              </w:rPr>
              <w:t xml:space="preserve"> </w:t>
            </w:r>
            <w:r w:rsidR="0052502E" w:rsidRPr="0064135E">
              <w:rPr>
                <w:b/>
                <w:bCs/>
              </w:rPr>
              <w:t>septiembre</w:t>
            </w:r>
            <w:r w:rsidR="00B435E7" w:rsidRPr="0064135E">
              <w:rPr>
                <w:b/>
                <w:bCs/>
              </w:rPr>
              <w:t xml:space="preserve"> de </w:t>
            </w:r>
            <w:r w:rsidR="009D176B" w:rsidRPr="0064135E">
              <w:rPr>
                <w:b/>
                <w:bCs/>
              </w:rPr>
              <w:t>202</w:t>
            </w:r>
            <w:r w:rsidR="00AF4004" w:rsidRPr="0064135E">
              <w:rPr>
                <w:b/>
                <w:bCs/>
              </w:rPr>
              <w:t>3</w:t>
            </w:r>
            <w:r w:rsidR="009D176B" w:rsidRPr="0064135E">
              <w:rPr>
                <w:b/>
                <w:bCs/>
              </w:rPr>
              <w:t>*</w:t>
            </w:r>
          </w:p>
          <w:p w14:paraId="0071567C" w14:textId="028E652F" w:rsidR="0061446B" w:rsidRPr="0064135E" w:rsidRDefault="0061446B" w:rsidP="00E34A48">
            <w:pPr>
              <w:jc w:val="center"/>
            </w:pPr>
            <w:r w:rsidRPr="0064135E">
              <w:rPr>
                <w:sz w:val="20"/>
                <w:szCs w:val="22"/>
              </w:rPr>
              <w:t xml:space="preserve">En </w:t>
            </w:r>
            <w:r w:rsidR="006535F3" w:rsidRPr="0064135E">
              <w:rPr>
                <w:sz w:val="20"/>
                <w:szCs w:val="22"/>
              </w:rPr>
              <w:t>millones</w:t>
            </w:r>
            <w:r w:rsidRPr="0064135E">
              <w:rPr>
                <w:sz w:val="20"/>
                <w:szCs w:val="22"/>
              </w:rPr>
              <w:t xml:space="preserve"> de Quetzales</w:t>
            </w:r>
          </w:p>
        </w:tc>
      </w:tr>
      <w:tr w:rsidR="00D36792" w:rsidRPr="0064135E" w14:paraId="2690E1D3" w14:textId="77777777" w:rsidTr="00F212EC">
        <w:trPr>
          <w:trHeight w:val="65"/>
          <w:jc w:val="center"/>
        </w:trPr>
        <w:tc>
          <w:tcPr>
            <w:tcW w:w="5654" w:type="dxa"/>
            <w:tcBorders>
              <w:right w:val="single" w:sz="4" w:space="0" w:color="auto"/>
            </w:tcBorders>
            <w:shd w:val="clear" w:color="auto" w:fill="auto"/>
          </w:tcPr>
          <w:p w14:paraId="38032EE6" w14:textId="06B5595E" w:rsidR="00F674B9" w:rsidRPr="0064135E" w:rsidRDefault="00AA1560" w:rsidP="00E34A48">
            <w:r w:rsidRPr="0064135E">
              <w:rPr>
                <w:noProof/>
                <w:lang w:eastAsia="es-GT"/>
              </w:rPr>
              <w:drawing>
                <wp:anchor distT="0" distB="0" distL="114300" distR="114300" simplePos="0" relativeHeight="251673604" behindDoc="0" locked="0" layoutInCell="1" allowOverlap="1" wp14:anchorId="56CDCC02" wp14:editId="0A87CFC4">
                  <wp:simplePos x="0" y="0"/>
                  <wp:positionH relativeFrom="column">
                    <wp:posOffset>-67310</wp:posOffset>
                  </wp:positionH>
                  <wp:positionV relativeFrom="paragraph">
                    <wp:posOffset>164465</wp:posOffset>
                  </wp:positionV>
                  <wp:extent cx="3365500" cy="1949450"/>
                  <wp:effectExtent l="0" t="0" r="6350" b="1270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c>
          <w:tcPr>
            <w:tcW w:w="3750" w:type="dxa"/>
            <w:tcBorders>
              <w:left w:val="single" w:sz="4" w:space="0" w:color="auto"/>
            </w:tcBorders>
          </w:tcPr>
          <w:p w14:paraId="6D2B05F8" w14:textId="4714FFEE" w:rsidR="00F674B9" w:rsidRPr="0064135E" w:rsidRDefault="002E6D39" w:rsidP="00814951">
            <w:pPr>
              <w:ind w:right="-183"/>
            </w:pPr>
            <w:r w:rsidRPr="0064135E">
              <w:rPr>
                <w:noProof/>
              </w:rPr>
              <w:drawing>
                <wp:inline distT="0" distB="0" distL="0" distR="0" wp14:anchorId="0BAB279A" wp14:editId="0FE9CE4F">
                  <wp:extent cx="2241550" cy="2111375"/>
                  <wp:effectExtent l="0" t="0" r="6350" b="3175"/>
                  <wp:docPr id="169087780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AA1560" w:rsidRPr="0064135E" w14:paraId="3FC960A0" w14:textId="77777777" w:rsidTr="00F212EC">
        <w:trPr>
          <w:trHeight w:val="66"/>
          <w:jc w:val="center"/>
        </w:trPr>
        <w:tc>
          <w:tcPr>
            <w:tcW w:w="5654" w:type="dxa"/>
            <w:shd w:val="clear" w:color="auto" w:fill="auto"/>
          </w:tcPr>
          <w:p w14:paraId="124F9854" w14:textId="77777777" w:rsidR="00AA1560" w:rsidRPr="0064135E" w:rsidRDefault="00AA1560" w:rsidP="00E34A48">
            <w:pPr>
              <w:rPr>
                <w:noProof/>
                <w:lang w:eastAsia="es-GT"/>
              </w:rPr>
            </w:pPr>
          </w:p>
        </w:tc>
        <w:tc>
          <w:tcPr>
            <w:tcW w:w="3750" w:type="dxa"/>
          </w:tcPr>
          <w:p w14:paraId="12938105" w14:textId="77777777" w:rsidR="00AA1560" w:rsidRPr="0064135E" w:rsidRDefault="00AA1560" w:rsidP="00814951">
            <w:pPr>
              <w:ind w:right="-183"/>
              <w:rPr>
                <w:noProof/>
              </w:rPr>
            </w:pPr>
          </w:p>
        </w:tc>
      </w:tr>
    </w:tbl>
    <w:p w14:paraId="109782B4" w14:textId="77777777" w:rsidR="00C20344" w:rsidRDefault="00C20344" w:rsidP="00C20344">
      <w:pPr>
        <w:pStyle w:val="Prrafodelista"/>
        <w:ind w:left="426"/>
        <w:outlineLvl w:val="0"/>
        <w:rPr>
          <w:rFonts w:eastAsiaTheme="majorEastAsia" w:cs="Times New Roman"/>
          <w:b/>
          <w:bCs/>
          <w:sz w:val="24"/>
          <w:szCs w:val="26"/>
          <w:lang w:val="es-ES_tradnl" w:eastAsia="es-ES"/>
        </w:rPr>
      </w:pPr>
      <w:bookmarkStart w:id="750" w:name="_Toc42023970"/>
      <w:bookmarkStart w:id="751" w:name="_Toc42024021"/>
      <w:bookmarkStart w:id="752" w:name="_Toc42023971"/>
      <w:bookmarkStart w:id="753" w:name="_Toc42024022"/>
      <w:bookmarkStart w:id="754" w:name="_Toc42023972"/>
      <w:bookmarkStart w:id="755" w:name="_Toc42024023"/>
      <w:bookmarkStart w:id="756" w:name="_Toc42023973"/>
      <w:bookmarkStart w:id="757" w:name="_Toc42024024"/>
      <w:bookmarkEnd w:id="750"/>
      <w:bookmarkEnd w:id="751"/>
      <w:bookmarkEnd w:id="752"/>
      <w:bookmarkEnd w:id="753"/>
      <w:bookmarkEnd w:id="754"/>
      <w:bookmarkEnd w:id="755"/>
      <w:bookmarkEnd w:id="756"/>
      <w:bookmarkEnd w:id="757"/>
    </w:p>
    <w:p w14:paraId="1E6EB202" w14:textId="77777777" w:rsidR="00931217" w:rsidRDefault="00931217" w:rsidP="00C20344">
      <w:pPr>
        <w:pStyle w:val="Prrafodelista"/>
        <w:ind w:left="426"/>
        <w:outlineLvl w:val="0"/>
        <w:rPr>
          <w:rFonts w:eastAsiaTheme="majorEastAsia" w:cs="Times New Roman"/>
          <w:b/>
          <w:bCs/>
          <w:sz w:val="24"/>
          <w:szCs w:val="26"/>
          <w:lang w:val="es-ES_tradnl" w:eastAsia="es-ES"/>
        </w:rPr>
      </w:pPr>
    </w:p>
    <w:p w14:paraId="481424A1" w14:textId="77777777" w:rsidR="00931217" w:rsidRPr="0064135E" w:rsidRDefault="00931217" w:rsidP="00C20344">
      <w:pPr>
        <w:pStyle w:val="Prrafodelista"/>
        <w:ind w:left="426"/>
        <w:outlineLvl w:val="0"/>
        <w:rPr>
          <w:rFonts w:eastAsiaTheme="majorEastAsia" w:cs="Times New Roman"/>
          <w:b/>
          <w:bCs/>
          <w:sz w:val="24"/>
          <w:szCs w:val="26"/>
          <w:lang w:val="es-ES_tradnl" w:eastAsia="es-ES"/>
        </w:rPr>
      </w:pPr>
    </w:p>
    <w:p w14:paraId="1F341054" w14:textId="5ADAA277" w:rsidR="00F4077C" w:rsidRPr="0064135E" w:rsidRDefault="00F4077C" w:rsidP="00C34A03">
      <w:pPr>
        <w:pStyle w:val="Prrafodelista"/>
        <w:numPr>
          <w:ilvl w:val="0"/>
          <w:numId w:val="1"/>
        </w:numPr>
        <w:ind w:left="426" w:hanging="426"/>
        <w:outlineLvl w:val="0"/>
        <w:rPr>
          <w:rFonts w:eastAsiaTheme="majorEastAsia" w:cs="Times New Roman"/>
          <w:b/>
          <w:bCs/>
          <w:sz w:val="24"/>
          <w:szCs w:val="26"/>
          <w:lang w:val="es-ES_tradnl" w:eastAsia="es-ES"/>
        </w:rPr>
      </w:pPr>
      <w:bookmarkStart w:id="758" w:name="_Toc152139329"/>
      <w:r w:rsidRPr="0064135E">
        <w:rPr>
          <w:rFonts w:eastAsiaTheme="majorEastAsia" w:cs="Times New Roman"/>
          <w:b/>
          <w:bCs/>
          <w:sz w:val="24"/>
          <w:szCs w:val="26"/>
          <w:lang w:val="es-ES_tradnl" w:eastAsia="es-ES"/>
        </w:rPr>
        <w:lastRenderedPageBreak/>
        <w:t>Erogaciones</w:t>
      </w:r>
      <w:r w:rsidR="00B50E45" w:rsidRPr="0064135E">
        <w:rPr>
          <w:rFonts w:eastAsiaTheme="majorEastAsia" w:cs="Times New Roman"/>
          <w:b/>
          <w:bCs/>
          <w:sz w:val="24"/>
          <w:szCs w:val="26"/>
          <w:lang w:val="es-ES_tradnl" w:eastAsia="es-ES"/>
        </w:rPr>
        <w:t xml:space="preserve"> del Gobierno Central Presupuestario</w:t>
      </w:r>
      <w:bookmarkEnd w:id="758"/>
    </w:p>
    <w:p w14:paraId="2B633498" w14:textId="77777777" w:rsidR="007A76CD" w:rsidRPr="0064135E" w:rsidRDefault="007A76CD" w:rsidP="00594050">
      <w:pPr>
        <w:rPr>
          <w:rFonts w:cs="Times New Roman"/>
        </w:rPr>
      </w:pPr>
      <w:r w:rsidRPr="0064135E">
        <w:rPr>
          <w:rFonts w:eastAsiaTheme="majorEastAsia"/>
          <w:noProof/>
          <w:lang w:eastAsia="es-GT"/>
        </w:rPr>
        <w:drawing>
          <wp:inline distT="0" distB="0" distL="0" distR="0" wp14:anchorId="77325B34" wp14:editId="59961A01">
            <wp:extent cx="5836920" cy="876300"/>
            <wp:effectExtent l="76200" t="38100" r="87630" b="1143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7E5690A" w14:textId="77777777" w:rsidR="000F19C1" w:rsidRPr="0064135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759" w:name="_Toc42023975"/>
      <w:bookmarkStart w:id="760" w:name="_Toc42024026"/>
      <w:bookmarkStart w:id="761" w:name="_Toc42069116"/>
      <w:bookmarkStart w:id="762" w:name="_Toc49422062"/>
      <w:bookmarkStart w:id="763" w:name="_Toc49422088"/>
      <w:bookmarkStart w:id="764" w:name="_Toc49430667"/>
      <w:bookmarkStart w:id="765" w:name="_Toc49430693"/>
      <w:bookmarkStart w:id="766" w:name="_Toc49750470"/>
      <w:bookmarkStart w:id="767" w:name="_Toc49750720"/>
      <w:bookmarkStart w:id="768" w:name="_Toc49750748"/>
      <w:bookmarkStart w:id="769" w:name="_Toc55284834"/>
      <w:bookmarkStart w:id="770" w:name="_Toc55298852"/>
      <w:bookmarkStart w:id="771" w:name="_Toc55373835"/>
      <w:bookmarkStart w:id="772" w:name="_Toc55374009"/>
      <w:bookmarkStart w:id="773" w:name="_Toc55375146"/>
      <w:bookmarkStart w:id="774" w:name="_Toc55396554"/>
      <w:bookmarkStart w:id="775" w:name="_Toc65230551"/>
      <w:bookmarkStart w:id="776" w:name="_Toc65230789"/>
      <w:bookmarkStart w:id="777" w:name="_Toc65232073"/>
      <w:bookmarkStart w:id="778" w:name="_Toc65232318"/>
      <w:bookmarkStart w:id="779" w:name="_Toc66716177"/>
      <w:bookmarkStart w:id="780" w:name="_Toc71097221"/>
      <w:bookmarkStart w:id="781" w:name="_Toc71097252"/>
      <w:bookmarkStart w:id="782" w:name="_Toc71097327"/>
      <w:bookmarkStart w:id="783" w:name="_Toc71108067"/>
      <w:bookmarkStart w:id="784" w:name="_Toc79055261"/>
      <w:bookmarkStart w:id="785" w:name="_Toc79055292"/>
      <w:bookmarkStart w:id="786" w:name="_Toc79060183"/>
      <w:bookmarkStart w:id="787" w:name="_Toc79060470"/>
      <w:bookmarkStart w:id="788" w:name="_Toc81307827"/>
      <w:bookmarkStart w:id="789" w:name="_Toc83376488"/>
      <w:bookmarkStart w:id="790" w:name="_Toc86386727"/>
      <w:bookmarkStart w:id="791" w:name="_Toc86405413"/>
      <w:bookmarkStart w:id="792" w:name="_Toc98162443"/>
      <w:bookmarkStart w:id="793" w:name="_Toc98162475"/>
      <w:bookmarkStart w:id="794" w:name="_Toc98235001"/>
      <w:bookmarkStart w:id="795" w:name="_Toc98235196"/>
      <w:bookmarkStart w:id="796" w:name="_Toc98235281"/>
      <w:bookmarkStart w:id="797" w:name="_Toc98757151"/>
      <w:bookmarkStart w:id="798" w:name="_Toc101874706"/>
      <w:bookmarkStart w:id="799" w:name="_Toc101954162"/>
      <w:bookmarkStart w:id="800" w:name="_Toc101971979"/>
      <w:bookmarkStart w:id="801" w:name="_Toc101974071"/>
      <w:bookmarkStart w:id="802" w:name="_Toc102039756"/>
      <w:bookmarkStart w:id="803" w:name="_Toc102039794"/>
      <w:bookmarkStart w:id="804" w:name="_Toc102039834"/>
      <w:bookmarkStart w:id="805" w:name="_Toc102039865"/>
      <w:bookmarkStart w:id="806" w:name="_Toc102040923"/>
      <w:bookmarkStart w:id="807" w:name="_Toc102477771"/>
      <w:bookmarkStart w:id="808" w:name="_Toc102477802"/>
      <w:bookmarkStart w:id="809" w:name="_Toc109824832"/>
      <w:bookmarkStart w:id="810" w:name="_Toc109828788"/>
      <w:bookmarkStart w:id="811" w:name="_Toc109828851"/>
      <w:bookmarkStart w:id="812" w:name="_Toc109829027"/>
      <w:bookmarkStart w:id="813" w:name="_Toc109829058"/>
      <w:bookmarkStart w:id="814" w:name="_Toc109833902"/>
      <w:bookmarkStart w:id="815" w:name="_Toc110237445"/>
      <w:bookmarkStart w:id="816" w:name="_Toc117775322"/>
      <w:bookmarkStart w:id="817" w:name="_Toc117781291"/>
      <w:bookmarkStart w:id="818" w:name="_Toc125620819"/>
      <w:bookmarkStart w:id="819" w:name="_Toc125620850"/>
      <w:bookmarkStart w:id="820" w:name="_Toc125620881"/>
      <w:bookmarkStart w:id="821" w:name="_Toc125620917"/>
      <w:bookmarkStart w:id="822" w:name="_Toc125620948"/>
      <w:bookmarkStart w:id="823" w:name="_Toc125620982"/>
      <w:bookmarkStart w:id="824" w:name="_Toc125621035"/>
      <w:bookmarkStart w:id="825" w:name="_Toc125621089"/>
      <w:bookmarkStart w:id="826" w:name="_Toc125623567"/>
      <w:bookmarkStart w:id="827" w:name="_Toc125623599"/>
      <w:bookmarkStart w:id="828" w:name="_Toc125623631"/>
      <w:bookmarkStart w:id="829" w:name="_Toc125970377"/>
      <w:bookmarkStart w:id="830" w:name="_Toc125970409"/>
      <w:bookmarkStart w:id="831" w:name="_Toc127365860"/>
      <w:bookmarkStart w:id="832" w:name="_Toc127434611"/>
      <w:bookmarkStart w:id="833" w:name="_Toc127436979"/>
      <w:bookmarkStart w:id="834" w:name="_Toc127437340"/>
      <w:bookmarkStart w:id="835" w:name="_Toc127437695"/>
      <w:bookmarkStart w:id="836" w:name="_Toc133492789"/>
      <w:bookmarkStart w:id="837" w:name="_Toc133492986"/>
      <w:bookmarkStart w:id="838" w:name="_Toc133493208"/>
      <w:bookmarkStart w:id="839" w:name="_Toc133497842"/>
      <w:bookmarkStart w:id="840" w:name="_Toc133505562"/>
      <w:bookmarkStart w:id="841" w:name="_Toc133576140"/>
      <w:bookmarkStart w:id="842" w:name="_Toc133576212"/>
      <w:bookmarkStart w:id="843" w:name="_Toc133576245"/>
      <w:bookmarkStart w:id="844" w:name="_Toc133576277"/>
      <w:bookmarkStart w:id="845" w:name="_Toc133576309"/>
      <w:bookmarkStart w:id="846" w:name="_Toc133576341"/>
      <w:bookmarkStart w:id="847" w:name="_Toc133576394"/>
      <w:bookmarkStart w:id="848" w:name="_Toc133576428"/>
      <w:bookmarkStart w:id="849" w:name="_Toc133576461"/>
      <w:bookmarkStart w:id="850" w:name="_Toc133576494"/>
      <w:bookmarkStart w:id="851" w:name="_Toc141108753"/>
      <w:bookmarkStart w:id="852" w:name="_Toc141172994"/>
      <w:bookmarkStart w:id="853" w:name="_Toc141277691"/>
      <w:bookmarkStart w:id="854" w:name="_Toc141277723"/>
      <w:bookmarkStart w:id="855" w:name="_Toc141430937"/>
      <w:bookmarkStart w:id="856" w:name="_Toc152073599"/>
      <w:bookmarkStart w:id="857" w:name="_Toc152073633"/>
      <w:bookmarkStart w:id="858" w:name="_Toc152073666"/>
      <w:bookmarkStart w:id="859" w:name="_Toc152073717"/>
      <w:bookmarkStart w:id="860" w:name="_Toc152073750"/>
      <w:bookmarkStart w:id="861" w:name="_Toc152073782"/>
      <w:bookmarkStart w:id="862" w:name="_Toc152073814"/>
      <w:bookmarkStart w:id="863" w:name="_Toc152073911"/>
      <w:bookmarkStart w:id="864" w:name="_Toc152073962"/>
      <w:bookmarkStart w:id="865" w:name="_Toc152074005"/>
      <w:bookmarkStart w:id="866" w:name="_Toc152074094"/>
      <w:bookmarkStart w:id="867" w:name="_Toc152074285"/>
      <w:bookmarkStart w:id="868" w:name="_Toc152074316"/>
      <w:bookmarkStart w:id="869" w:name="_Toc152087711"/>
      <w:bookmarkStart w:id="870" w:name="_Toc152139330"/>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56FB527D" w14:textId="77777777" w:rsidR="000F19C1" w:rsidRPr="0064135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871" w:name="_Toc55374010"/>
      <w:bookmarkStart w:id="872" w:name="_Toc55375147"/>
      <w:bookmarkStart w:id="873" w:name="_Toc55396555"/>
      <w:bookmarkStart w:id="874" w:name="_Toc65230552"/>
      <w:bookmarkStart w:id="875" w:name="_Toc65230790"/>
      <w:bookmarkStart w:id="876" w:name="_Toc65232074"/>
      <w:bookmarkStart w:id="877" w:name="_Toc65232319"/>
      <w:bookmarkStart w:id="878" w:name="_Toc66716178"/>
      <w:bookmarkStart w:id="879" w:name="_Toc71097222"/>
      <w:bookmarkStart w:id="880" w:name="_Toc71097253"/>
      <w:bookmarkStart w:id="881" w:name="_Toc71097328"/>
      <w:bookmarkStart w:id="882" w:name="_Toc71108068"/>
      <w:bookmarkStart w:id="883" w:name="_Toc79055262"/>
      <w:bookmarkStart w:id="884" w:name="_Toc79055293"/>
      <w:bookmarkStart w:id="885" w:name="_Toc79060184"/>
      <w:bookmarkStart w:id="886" w:name="_Toc79060471"/>
      <w:bookmarkStart w:id="887" w:name="_Toc81307828"/>
      <w:bookmarkStart w:id="888" w:name="_Toc83376489"/>
      <w:bookmarkStart w:id="889" w:name="_Toc86386728"/>
      <w:bookmarkStart w:id="890" w:name="_Toc86405414"/>
      <w:bookmarkStart w:id="891" w:name="_Toc98162444"/>
      <w:bookmarkStart w:id="892" w:name="_Toc98162476"/>
      <w:bookmarkStart w:id="893" w:name="_Toc98235002"/>
      <w:bookmarkStart w:id="894" w:name="_Toc98235197"/>
      <w:bookmarkStart w:id="895" w:name="_Toc98235282"/>
      <w:bookmarkStart w:id="896" w:name="_Toc98757152"/>
      <w:bookmarkStart w:id="897" w:name="_Toc101874707"/>
      <w:bookmarkStart w:id="898" w:name="_Toc101954163"/>
      <w:bookmarkStart w:id="899" w:name="_Toc101971980"/>
      <w:bookmarkStart w:id="900" w:name="_Toc101974072"/>
      <w:bookmarkStart w:id="901" w:name="_Toc102039757"/>
      <w:bookmarkStart w:id="902" w:name="_Toc102039795"/>
      <w:bookmarkStart w:id="903" w:name="_Toc102039835"/>
      <w:bookmarkStart w:id="904" w:name="_Toc102039866"/>
      <w:bookmarkStart w:id="905" w:name="_Toc102040924"/>
      <w:bookmarkStart w:id="906" w:name="_Toc102477772"/>
      <w:bookmarkStart w:id="907" w:name="_Toc102477803"/>
      <w:bookmarkStart w:id="908" w:name="_Toc109824833"/>
      <w:bookmarkStart w:id="909" w:name="_Toc109828789"/>
      <w:bookmarkStart w:id="910" w:name="_Toc109828852"/>
      <w:bookmarkStart w:id="911" w:name="_Toc109829028"/>
      <w:bookmarkStart w:id="912" w:name="_Toc109829059"/>
      <w:bookmarkStart w:id="913" w:name="_Toc109833903"/>
      <w:bookmarkStart w:id="914" w:name="_Toc110237446"/>
      <w:bookmarkStart w:id="915" w:name="_Toc117775323"/>
      <w:bookmarkStart w:id="916" w:name="_Toc117781292"/>
      <w:bookmarkStart w:id="917" w:name="_Toc125620820"/>
      <w:bookmarkStart w:id="918" w:name="_Toc125620851"/>
      <w:bookmarkStart w:id="919" w:name="_Toc125620882"/>
      <w:bookmarkStart w:id="920" w:name="_Toc125620918"/>
      <w:bookmarkStart w:id="921" w:name="_Toc125620949"/>
      <w:bookmarkStart w:id="922" w:name="_Toc125620983"/>
      <w:bookmarkStart w:id="923" w:name="_Toc125621036"/>
      <w:bookmarkStart w:id="924" w:name="_Toc125621090"/>
      <w:bookmarkStart w:id="925" w:name="_Toc125623568"/>
      <w:bookmarkStart w:id="926" w:name="_Toc125623600"/>
      <w:bookmarkStart w:id="927" w:name="_Toc125623632"/>
      <w:bookmarkStart w:id="928" w:name="_Toc125970378"/>
      <w:bookmarkStart w:id="929" w:name="_Toc125970410"/>
      <w:bookmarkStart w:id="930" w:name="_Toc127365861"/>
      <w:bookmarkStart w:id="931" w:name="_Toc127434612"/>
      <w:bookmarkStart w:id="932" w:name="_Toc127436980"/>
      <w:bookmarkStart w:id="933" w:name="_Toc127437341"/>
      <w:bookmarkStart w:id="934" w:name="_Toc127437696"/>
      <w:bookmarkStart w:id="935" w:name="_Toc133492790"/>
      <w:bookmarkStart w:id="936" w:name="_Toc133492987"/>
      <w:bookmarkStart w:id="937" w:name="_Toc133493209"/>
      <w:bookmarkStart w:id="938" w:name="_Toc133497843"/>
      <w:bookmarkStart w:id="939" w:name="_Toc133505563"/>
      <w:bookmarkStart w:id="940" w:name="_Toc133576141"/>
      <w:bookmarkStart w:id="941" w:name="_Toc133576213"/>
      <w:bookmarkStart w:id="942" w:name="_Toc133576246"/>
      <w:bookmarkStart w:id="943" w:name="_Toc133576278"/>
      <w:bookmarkStart w:id="944" w:name="_Toc133576310"/>
      <w:bookmarkStart w:id="945" w:name="_Toc133576342"/>
      <w:bookmarkStart w:id="946" w:name="_Toc133576395"/>
      <w:bookmarkStart w:id="947" w:name="_Toc133576429"/>
      <w:bookmarkStart w:id="948" w:name="_Toc133576462"/>
      <w:bookmarkStart w:id="949" w:name="_Toc133576495"/>
      <w:bookmarkStart w:id="950" w:name="_Toc141108754"/>
      <w:bookmarkStart w:id="951" w:name="_Toc141172995"/>
      <w:bookmarkStart w:id="952" w:name="_Toc141277692"/>
      <w:bookmarkStart w:id="953" w:name="_Toc141277724"/>
      <w:bookmarkStart w:id="954" w:name="_Toc141430938"/>
      <w:bookmarkStart w:id="955" w:name="_Toc152073600"/>
      <w:bookmarkStart w:id="956" w:name="_Toc152073634"/>
      <w:bookmarkStart w:id="957" w:name="_Toc152073667"/>
      <w:bookmarkStart w:id="958" w:name="_Toc152073718"/>
      <w:bookmarkStart w:id="959" w:name="_Toc152073751"/>
      <w:bookmarkStart w:id="960" w:name="_Toc152073783"/>
      <w:bookmarkStart w:id="961" w:name="_Toc152073815"/>
      <w:bookmarkStart w:id="962" w:name="_Toc152073912"/>
      <w:bookmarkStart w:id="963" w:name="_Toc152073963"/>
      <w:bookmarkStart w:id="964" w:name="_Toc152074006"/>
      <w:bookmarkStart w:id="965" w:name="_Toc152074095"/>
      <w:bookmarkStart w:id="966" w:name="_Toc152074286"/>
      <w:bookmarkStart w:id="967" w:name="_Toc152074317"/>
      <w:bookmarkStart w:id="968" w:name="_Toc152087712"/>
      <w:bookmarkStart w:id="969" w:name="_Toc152139331"/>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0298658C" w14:textId="77777777" w:rsidR="000F19C1" w:rsidRPr="0064135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970" w:name="_Toc55374011"/>
      <w:bookmarkStart w:id="971" w:name="_Toc55375148"/>
      <w:bookmarkStart w:id="972" w:name="_Toc55396556"/>
      <w:bookmarkStart w:id="973" w:name="_Toc65230553"/>
      <w:bookmarkStart w:id="974" w:name="_Toc65230791"/>
      <w:bookmarkStart w:id="975" w:name="_Toc65232075"/>
      <w:bookmarkStart w:id="976" w:name="_Toc65232320"/>
      <w:bookmarkStart w:id="977" w:name="_Toc66716179"/>
      <w:bookmarkStart w:id="978" w:name="_Toc71097223"/>
      <w:bookmarkStart w:id="979" w:name="_Toc71097254"/>
      <w:bookmarkStart w:id="980" w:name="_Toc71097329"/>
      <w:bookmarkStart w:id="981" w:name="_Toc71108069"/>
      <w:bookmarkStart w:id="982" w:name="_Toc79055263"/>
      <w:bookmarkStart w:id="983" w:name="_Toc79055294"/>
      <w:bookmarkStart w:id="984" w:name="_Toc79060185"/>
      <w:bookmarkStart w:id="985" w:name="_Toc79060472"/>
      <w:bookmarkStart w:id="986" w:name="_Toc81307829"/>
      <w:bookmarkStart w:id="987" w:name="_Toc83376490"/>
      <w:bookmarkStart w:id="988" w:name="_Toc86386729"/>
      <w:bookmarkStart w:id="989" w:name="_Toc86405415"/>
      <w:bookmarkStart w:id="990" w:name="_Toc98162445"/>
      <w:bookmarkStart w:id="991" w:name="_Toc98162477"/>
      <w:bookmarkStart w:id="992" w:name="_Toc98235003"/>
      <w:bookmarkStart w:id="993" w:name="_Toc98235198"/>
      <w:bookmarkStart w:id="994" w:name="_Toc98235283"/>
      <w:bookmarkStart w:id="995" w:name="_Toc98757153"/>
      <w:bookmarkStart w:id="996" w:name="_Toc101874708"/>
      <w:bookmarkStart w:id="997" w:name="_Toc101954164"/>
      <w:bookmarkStart w:id="998" w:name="_Toc101971981"/>
      <w:bookmarkStart w:id="999" w:name="_Toc101974073"/>
      <w:bookmarkStart w:id="1000" w:name="_Toc102039758"/>
      <w:bookmarkStart w:id="1001" w:name="_Toc102039796"/>
      <w:bookmarkStart w:id="1002" w:name="_Toc102039836"/>
      <w:bookmarkStart w:id="1003" w:name="_Toc102039867"/>
      <w:bookmarkStart w:id="1004" w:name="_Toc102040925"/>
      <w:bookmarkStart w:id="1005" w:name="_Toc102477773"/>
      <w:bookmarkStart w:id="1006" w:name="_Toc102477804"/>
      <w:bookmarkStart w:id="1007" w:name="_Toc109824834"/>
      <w:bookmarkStart w:id="1008" w:name="_Toc109828790"/>
      <w:bookmarkStart w:id="1009" w:name="_Toc109828853"/>
      <w:bookmarkStart w:id="1010" w:name="_Toc109829029"/>
      <w:bookmarkStart w:id="1011" w:name="_Toc109829060"/>
      <w:bookmarkStart w:id="1012" w:name="_Toc109833904"/>
      <w:bookmarkStart w:id="1013" w:name="_Toc110237447"/>
      <w:bookmarkStart w:id="1014" w:name="_Toc117775324"/>
      <w:bookmarkStart w:id="1015" w:name="_Toc117781293"/>
      <w:bookmarkStart w:id="1016" w:name="_Toc125620821"/>
      <w:bookmarkStart w:id="1017" w:name="_Toc125620852"/>
      <w:bookmarkStart w:id="1018" w:name="_Toc125620883"/>
      <w:bookmarkStart w:id="1019" w:name="_Toc125620919"/>
      <w:bookmarkStart w:id="1020" w:name="_Toc125620950"/>
      <w:bookmarkStart w:id="1021" w:name="_Toc125620984"/>
      <w:bookmarkStart w:id="1022" w:name="_Toc125621037"/>
      <w:bookmarkStart w:id="1023" w:name="_Toc125621091"/>
      <w:bookmarkStart w:id="1024" w:name="_Toc125623569"/>
      <w:bookmarkStart w:id="1025" w:name="_Toc125623601"/>
      <w:bookmarkStart w:id="1026" w:name="_Toc125623633"/>
      <w:bookmarkStart w:id="1027" w:name="_Toc125970379"/>
      <w:bookmarkStart w:id="1028" w:name="_Toc125970411"/>
      <w:bookmarkStart w:id="1029" w:name="_Toc127365862"/>
      <w:bookmarkStart w:id="1030" w:name="_Toc127434613"/>
      <w:bookmarkStart w:id="1031" w:name="_Toc127436981"/>
      <w:bookmarkStart w:id="1032" w:name="_Toc127437342"/>
      <w:bookmarkStart w:id="1033" w:name="_Toc127437697"/>
      <w:bookmarkStart w:id="1034" w:name="_Toc133492791"/>
      <w:bookmarkStart w:id="1035" w:name="_Toc133492988"/>
      <w:bookmarkStart w:id="1036" w:name="_Toc133493210"/>
      <w:bookmarkStart w:id="1037" w:name="_Toc133497844"/>
      <w:bookmarkStart w:id="1038" w:name="_Toc133505564"/>
      <w:bookmarkStart w:id="1039" w:name="_Toc133576142"/>
      <w:bookmarkStart w:id="1040" w:name="_Toc133576214"/>
      <w:bookmarkStart w:id="1041" w:name="_Toc133576247"/>
      <w:bookmarkStart w:id="1042" w:name="_Toc133576279"/>
      <w:bookmarkStart w:id="1043" w:name="_Toc133576311"/>
      <w:bookmarkStart w:id="1044" w:name="_Toc133576343"/>
      <w:bookmarkStart w:id="1045" w:name="_Toc133576396"/>
      <w:bookmarkStart w:id="1046" w:name="_Toc133576430"/>
      <w:bookmarkStart w:id="1047" w:name="_Toc133576463"/>
      <w:bookmarkStart w:id="1048" w:name="_Toc133576496"/>
      <w:bookmarkStart w:id="1049" w:name="_Toc141108755"/>
      <w:bookmarkStart w:id="1050" w:name="_Toc141172996"/>
      <w:bookmarkStart w:id="1051" w:name="_Toc141277693"/>
      <w:bookmarkStart w:id="1052" w:name="_Toc141277725"/>
      <w:bookmarkStart w:id="1053" w:name="_Toc141430939"/>
      <w:bookmarkStart w:id="1054" w:name="_Toc152073601"/>
      <w:bookmarkStart w:id="1055" w:name="_Toc152073635"/>
      <w:bookmarkStart w:id="1056" w:name="_Toc152073668"/>
      <w:bookmarkStart w:id="1057" w:name="_Toc152073719"/>
      <w:bookmarkStart w:id="1058" w:name="_Toc152073752"/>
      <w:bookmarkStart w:id="1059" w:name="_Toc152073784"/>
      <w:bookmarkStart w:id="1060" w:name="_Toc152073816"/>
      <w:bookmarkStart w:id="1061" w:name="_Toc152073913"/>
      <w:bookmarkStart w:id="1062" w:name="_Toc152073964"/>
      <w:bookmarkStart w:id="1063" w:name="_Toc152074007"/>
      <w:bookmarkStart w:id="1064" w:name="_Toc152074096"/>
      <w:bookmarkStart w:id="1065" w:name="_Toc152074287"/>
      <w:bookmarkStart w:id="1066" w:name="_Toc152074318"/>
      <w:bookmarkStart w:id="1067" w:name="_Toc152087713"/>
      <w:bookmarkStart w:id="1068" w:name="_Toc152139332"/>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2B7C610F" w14:textId="77777777" w:rsidR="000F19C1" w:rsidRPr="0064135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1069" w:name="_Toc55374012"/>
      <w:bookmarkStart w:id="1070" w:name="_Toc55375149"/>
      <w:bookmarkStart w:id="1071" w:name="_Toc55396557"/>
      <w:bookmarkStart w:id="1072" w:name="_Toc65230554"/>
      <w:bookmarkStart w:id="1073" w:name="_Toc65230792"/>
      <w:bookmarkStart w:id="1074" w:name="_Toc65232076"/>
      <w:bookmarkStart w:id="1075" w:name="_Toc65232321"/>
      <w:bookmarkStart w:id="1076" w:name="_Toc66716180"/>
      <w:bookmarkStart w:id="1077" w:name="_Toc71097224"/>
      <w:bookmarkStart w:id="1078" w:name="_Toc71097255"/>
      <w:bookmarkStart w:id="1079" w:name="_Toc71097330"/>
      <w:bookmarkStart w:id="1080" w:name="_Toc71108070"/>
      <w:bookmarkStart w:id="1081" w:name="_Toc79055264"/>
      <w:bookmarkStart w:id="1082" w:name="_Toc79055295"/>
      <w:bookmarkStart w:id="1083" w:name="_Toc79060186"/>
      <w:bookmarkStart w:id="1084" w:name="_Toc79060473"/>
      <w:bookmarkStart w:id="1085" w:name="_Toc81307830"/>
      <w:bookmarkStart w:id="1086" w:name="_Toc83376491"/>
      <w:bookmarkStart w:id="1087" w:name="_Toc86386730"/>
      <w:bookmarkStart w:id="1088" w:name="_Toc86405416"/>
      <w:bookmarkStart w:id="1089" w:name="_Toc98162446"/>
      <w:bookmarkStart w:id="1090" w:name="_Toc98162478"/>
      <w:bookmarkStart w:id="1091" w:name="_Toc98235004"/>
      <w:bookmarkStart w:id="1092" w:name="_Toc98235199"/>
      <w:bookmarkStart w:id="1093" w:name="_Toc98235284"/>
      <w:bookmarkStart w:id="1094" w:name="_Toc98757154"/>
      <w:bookmarkStart w:id="1095" w:name="_Toc101874709"/>
      <w:bookmarkStart w:id="1096" w:name="_Toc101954165"/>
      <w:bookmarkStart w:id="1097" w:name="_Toc101971982"/>
      <w:bookmarkStart w:id="1098" w:name="_Toc101974074"/>
      <w:bookmarkStart w:id="1099" w:name="_Toc102039759"/>
      <w:bookmarkStart w:id="1100" w:name="_Toc102039797"/>
      <w:bookmarkStart w:id="1101" w:name="_Toc102039837"/>
      <w:bookmarkStart w:id="1102" w:name="_Toc102039868"/>
      <w:bookmarkStart w:id="1103" w:name="_Toc102040926"/>
      <w:bookmarkStart w:id="1104" w:name="_Toc102477774"/>
      <w:bookmarkStart w:id="1105" w:name="_Toc102477805"/>
      <w:bookmarkStart w:id="1106" w:name="_Toc109824835"/>
      <w:bookmarkStart w:id="1107" w:name="_Toc109828791"/>
      <w:bookmarkStart w:id="1108" w:name="_Toc109828854"/>
      <w:bookmarkStart w:id="1109" w:name="_Toc109829030"/>
      <w:bookmarkStart w:id="1110" w:name="_Toc109829061"/>
      <w:bookmarkStart w:id="1111" w:name="_Toc109833905"/>
      <w:bookmarkStart w:id="1112" w:name="_Toc110237448"/>
      <w:bookmarkStart w:id="1113" w:name="_Toc117775325"/>
      <w:bookmarkStart w:id="1114" w:name="_Toc117781294"/>
      <w:bookmarkStart w:id="1115" w:name="_Toc125620822"/>
      <w:bookmarkStart w:id="1116" w:name="_Toc125620853"/>
      <w:bookmarkStart w:id="1117" w:name="_Toc125620884"/>
      <w:bookmarkStart w:id="1118" w:name="_Toc125620920"/>
      <w:bookmarkStart w:id="1119" w:name="_Toc125620951"/>
      <w:bookmarkStart w:id="1120" w:name="_Toc125620985"/>
      <w:bookmarkStart w:id="1121" w:name="_Toc125621038"/>
      <w:bookmarkStart w:id="1122" w:name="_Toc125621092"/>
      <w:bookmarkStart w:id="1123" w:name="_Toc125623570"/>
      <w:bookmarkStart w:id="1124" w:name="_Toc125623602"/>
      <w:bookmarkStart w:id="1125" w:name="_Toc125623634"/>
      <w:bookmarkStart w:id="1126" w:name="_Toc125970380"/>
      <w:bookmarkStart w:id="1127" w:name="_Toc125970412"/>
      <w:bookmarkStart w:id="1128" w:name="_Toc127365863"/>
      <w:bookmarkStart w:id="1129" w:name="_Toc127434614"/>
      <w:bookmarkStart w:id="1130" w:name="_Toc127436982"/>
      <w:bookmarkStart w:id="1131" w:name="_Toc127437343"/>
      <w:bookmarkStart w:id="1132" w:name="_Toc127437698"/>
      <w:bookmarkStart w:id="1133" w:name="_Toc133492792"/>
      <w:bookmarkStart w:id="1134" w:name="_Toc133492989"/>
      <w:bookmarkStart w:id="1135" w:name="_Toc133493211"/>
      <w:bookmarkStart w:id="1136" w:name="_Toc133497845"/>
      <w:bookmarkStart w:id="1137" w:name="_Toc133505565"/>
      <w:bookmarkStart w:id="1138" w:name="_Toc133576143"/>
      <w:bookmarkStart w:id="1139" w:name="_Toc133576215"/>
      <w:bookmarkStart w:id="1140" w:name="_Toc133576248"/>
      <w:bookmarkStart w:id="1141" w:name="_Toc133576280"/>
      <w:bookmarkStart w:id="1142" w:name="_Toc133576312"/>
      <w:bookmarkStart w:id="1143" w:name="_Toc133576344"/>
      <w:bookmarkStart w:id="1144" w:name="_Toc133576397"/>
      <w:bookmarkStart w:id="1145" w:name="_Toc133576431"/>
      <w:bookmarkStart w:id="1146" w:name="_Toc133576464"/>
      <w:bookmarkStart w:id="1147" w:name="_Toc133576497"/>
      <w:bookmarkStart w:id="1148" w:name="_Toc141108756"/>
      <w:bookmarkStart w:id="1149" w:name="_Toc141172997"/>
      <w:bookmarkStart w:id="1150" w:name="_Toc141277694"/>
      <w:bookmarkStart w:id="1151" w:name="_Toc141277726"/>
      <w:bookmarkStart w:id="1152" w:name="_Toc141430940"/>
      <w:bookmarkStart w:id="1153" w:name="_Toc152073602"/>
      <w:bookmarkStart w:id="1154" w:name="_Toc152073636"/>
      <w:bookmarkStart w:id="1155" w:name="_Toc152073669"/>
      <w:bookmarkStart w:id="1156" w:name="_Toc152073720"/>
      <w:bookmarkStart w:id="1157" w:name="_Toc152073753"/>
      <w:bookmarkStart w:id="1158" w:name="_Toc152073785"/>
      <w:bookmarkStart w:id="1159" w:name="_Toc152073817"/>
      <w:bookmarkStart w:id="1160" w:name="_Toc152073914"/>
      <w:bookmarkStart w:id="1161" w:name="_Toc152073965"/>
      <w:bookmarkStart w:id="1162" w:name="_Toc152074008"/>
      <w:bookmarkStart w:id="1163" w:name="_Toc152074097"/>
      <w:bookmarkStart w:id="1164" w:name="_Toc152074288"/>
      <w:bookmarkStart w:id="1165" w:name="_Toc152074319"/>
      <w:bookmarkStart w:id="1166" w:name="_Toc152087714"/>
      <w:bookmarkStart w:id="1167" w:name="_Toc152139333"/>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5DA454F1" w14:textId="77777777" w:rsidR="000F19C1" w:rsidRPr="0064135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1168" w:name="_Toc55374013"/>
      <w:bookmarkStart w:id="1169" w:name="_Toc55375150"/>
      <w:bookmarkStart w:id="1170" w:name="_Toc55396558"/>
      <w:bookmarkStart w:id="1171" w:name="_Toc65230555"/>
      <w:bookmarkStart w:id="1172" w:name="_Toc65230793"/>
      <w:bookmarkStart w:id="1173" w:name="_Toc65232077"/>
      <w:bookmarkStart w:id="1174" w:name="_Toc65232322"/>
      <w:bookmarkStart w:id="1175" w:name="_Toc66716181"/>
      <w:bookmarkStart w:id="1176" w:name="_Toc71097225"/>
      <w:bookmarkStart w:id="1177" w:name="_Toc71097256"/>
      <w:bookmarkStart w:id="1178" w:name="_Toc71097331"/>
      <w:bookmarkStart w:id="1179" w:name="_Toc71108071"/>
      <w:bookmarkStart w:id="1180" w:name="_Toc79055265"/>
      <w:bookmarkStart w:id="1181" w:name="_Toc79055296"/>
      <w:bookmarkStart w:id="1182" w:name="_Toc79060187"/>
      <w:bookmarkStart w:id="1183" w:name="_Toc79060474"/>
      <w:bookmarkStart w:id="1184" w:name="_Toc81307831"/>
      <w:bookmarkStart w:id="1185" w:name="_Toc83376492"/>
      <w:bookmarkStart w:id="1186" w:name="_Toc86386731"/>
      <w:bookmarkStart w:id="1187" w:name="_Toc86405417"/>
      <w:bookmarkStart w:id="1188" w:name="_Toc98162447"/>
      <w:bookmarkStart w:id="1189" w:name="_Toc98162479"/>
      <w:bookmarkStart w:id="1190" w:name="_Toc98235005"/>
      <w:bookmarkStart w:id="1191" w:name="_Toc98235200"/>
      <w:bookmarkStart w:id="1192" w:name="_Toc98235285"/>
      <w:bookmarkStart w:id="1193" w:name="_Toc98757155"/>
      <w:bookmarkStart w:id="1194" w:name="_Toc101874710"/>
      <w:bookmarkStart w:id="1195" w:name="_Toc101954166"/>
      <w:bookmarkStart w:id="1196" w:name="_Toc101971983"/>
      <w:bookmarkStart w:id="1197" w:name="_Toc101974075"/>
      <w:bookmarkStart w:id="1198" w:name="_Toc102039760"/>
      <w:bookmarkStart w:id="1199" w:name="_Toc102039798"/>
      <w:bookmarkStart w:id="1200" w:name="_Toc102039838"/>
      <w:bookmarkStart w:id="1201" w:name="_Toc102039869"/>
      <w:bookmarkStart w:id="1202" w:name="_Toc102040927"/>
      <w:bookmarkStart w:id="1203" w:name="_Toc102477775"/>
      <w:bookmarkStart w:id="1204" w:name="_Toc102477806"/>
      <w:bookmarkStart w:id="1205" w:name="_Toc109824836"/>
      <w:bookmarkStart w:id="1206" w:name="_Toc109828792"/>
      <w:bookmarkStart w:id="1207" w:name="_Toc109828855"/>
      <w:bookmarkStart w:id="1208" w:name="_Toc109829031"/>
      <w:bookmarkStart w:id="1209" w:name="_Toc109829062"/>
      <w:bookmarkStart w:id="1210" w:name="_Toc109833906"/>
      <w:bookmarkStart w:id="1211" w:name="_Toc110237449"/>
      <w:bookmarkStart w:id="1212" w:name="_Toc117775326"/>
      <w:bookmarkStart w:id="1213" w:name="_Toc117781295"/>
      <w:bookmarkStart w:id="1214" w:name="_Toc125620823"/>
      <w:bookmarkStart w:id="1215" w:name="_Toc125620854"/>
      <w:bookmarkStart w:id="1216" w:name="_Toc125620885"/>
      <w:bookmarkStart w:id="1217" w:name="_Toc125620921"/>
      <w:bookmarkStart w:id="1218" w:name="_Toc125620952"/>
      <w:bookmarkStart w:id="1219" w:name="_Toc125620986"/>
      <w:bookmarkStart w:id="1220" w:name="_Toc125621039"/>
      <w:bookmarkStart w:id="1221" w:name="_Toc125621093"/>
      <w:bookmarkStart w:id="1222" w:name="_Toc125623571"/>
      <w:bookmarkStart w:id="1223" w:name="_Toc125623603"/>
      <w:bookmarkStart w:id="1224" w:name="_Toc125623635"/>
      <w:bookmarkStart w:id="1225" w:name="_Toc125970381"/>
      <w:bookmarkStart w:id="1226" w:name="_Toc125970413"/>
      <w:bookmarkStart w:id="1227" w:name="_Toc127365864"/>
      <w:bookmarkStart w:id="1228" w:name="_Toc127434615"/>
      <w:bookmarkStart w:id="1229" w:name="_Toc127436983"/>
      <w:bookmarkStart w:id="1230" w:name="_Toc127437344"/>
      <w:bookmarkStart w:id="1231" w:name="_Toc127437699"/>
      <w:bookmarkStart w:id="1232" w:name="_Toc133492793"/>
      <w:bookmarkStart w:id="1233" w:name="_Toc133492990"/>
      <w:bookmarkStart w:id="1234" w:name="_Toc133493212"/>
      <w:bookmarkStart w:id="1235" w:name="_Toc133497846"/>
      <w:bookmarkStart w:id="1236" w:name="_Toc133505566"/>
      <w:bookmarkStart w:id="1237" w:name="_Toc133576144"/>
      <w:bookmarkStart w:id="1238" w:name="_Toc133576216"/>
      <w:bookmarkStart w:id="1239" w:name="_Toc133576249"/>
      <w:bookmarkStart w:id="1240" w:name="_Toc133576281"/>
      <w:bookmarkStart w:id="1241" w:name="_Toc133576313"/>
      <w:bookmarkStart w:id="1242" w:name="_Toc133576345"/>
      <w:bookmarkStart w:id="1243" w:name="_Toc133576398"/>
      <w:bookmarkStart w:id="1244" w:name="_Toc133576432"/>
      <w:bookmarkStart w:id="1245" w:name="_Toc133576465"/>
      <w:bookmarkStart w:id="1246" w:name="_Toc133576498"/>
      <w:bookmarkStart w:id="1247" w:name="_Toc141108757"/>
      <w:bookmarkStart w:id="1248" w:name="_Toc141172998"/>
      <w:bookmarkStart w:id="1249" w:name="_Toc141277695"/>
      <w:bookmarkStart w:id="1250" w:name="_Toc141277727"/>
      <w:bookmarkStart w:id="1251" w:name="_Toc141430941"/>
      <w:bookmarkStart w:id="1252" w:name="_Toc152073603"/>
      <w:bookmarkStart w:id="1253" w:name="_Toc152073637"/>
      <w:bookmarkStart w:id="1254" w:name="_Toc152073670"/>
      <w:bookmarkStart w:id="1255" w:name="_Toc152073721"/>
      <w:bookmarkStart w:id="1256" w:name="_Toc152073754"/>
      <w:bookmarkStart w:id="1257" w:name="_Toc152073786"/>
      <w:bookmarkStart w:id="1258" w:name="_Toc152073818"/>
      <w:bookmarkStart w:id="1259" w:name="_Toc152073915"/>
      <w:bookmarkStart w:id="1260" w:name="_Toc152073966"/>
      <w:bookmarkStart w:id="1261" w:name="_Toc152074009"/>
      <w:bookmarkStart w:id="1262" w:name="_Toc152074098"/>
      <w:bookmarkStart w:id="1263" w:name="_Toc152074289"/>
      <w:bookmarkStart w:id="1264" w:name="_Toc152074320"/>
      <w:bookmarkStart w:id="1265" w:name="_Toc152087715"/>
      <w:bookmarkStart w:id="1266" w:name="_Toc152139334"/>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045B7FE4" w14:textId="77777777" w:rsidR="00C56688" w:rsidRPr="0064135E" w:rsidRDefault="00C56688" w:rsidP="00C56688">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1267" w:name="_Toc55374014"/>
      <w:bookmarkStart w:id="1268" w:name="_Toc55375151"/>
      <w:bookmarkStart w:id="1269" w:name="_Toc55396559"/>
      <w:bookmarkStart w:id="1270" w:name="_Toc65230556"/>
      <w:bookmarkStart w:id="1271" w:name="_Toc65230794"/>
      <w:bookmarkStart w:id="1272" w:name="_Toc65232078"/>
      <w:bookmarkStart w:id="1273" w:name="_Toc65232323"/>
      <w:bookmarkStart w:id="1274" w:name="_Toc66716182"/>
      <w:bookmarkStart w:id="1275" w:name="_Toc71097226"/>
      <w:bookmarkStart w:id="1276" w:name="_Toc71097257"/>
      <w:bookmarkStart w:id="1277" w:name="_Toc71097332"/>
      <w:bookmarkStart w:id="1278" w:name="_Toc71108072"/>
      <w:bookmarkStart w:id="1279" w:name="_Toc79055266"/>
      <w:bookmarkStart w:id="1280" w:name="_Toc79055297"/>
      <w:bookmarkStart w:id="1281" w:name="_Toc79060188"/>
      <w:bookmarkStart w:id="1282" w:name="_Toc79060475"/>
      <w:bookmarkStart w:id="1283" w:name="_Toc81307832"/>
      <w:bookmarkStart w:id="1284" w:name="_Toc83376493"/>
      <w:bookmarkStart w:id="1285" w:name="_Toc86386732"/>
      <w:bookmarkStart w:id="1286" w:name="_Toc86405418"/>
      <w:bookmarkStart w:id="1287" w:name="_Toc98162448"/>
      <w:bookmarkStart w:id="1288" w:name="_Toc98162480"/>
      <w:bookmarkStart w:id="1289" w:name="_Toc98235006"/>
      <w:bookmarkStart w:id="1290" w:name="_Toc98235201"/>
      <w:bookmarkStart w:id="1291" w:name="_Toc98235286"/>
      <w:bookmarkStart w:id="1292" w:name="_Toc98757156"/>
      <w:bookmarkStart w:id="1293" w:name="_Toc101874711"/>
      <w:bookmarkStart w:id="1294" w:name="_Toc101954167"/>
      <w:bookmarkStart w:id="1295" w:name="_Toc101971984"/>
      <w:bookmarkStart w:id="1296" w:name="_Toc101974076"/>
      <w:bookmarkStart w:id="1297" w:name="_Toc102039761"/>
      <w:bookmarkStart w:id="1298" w:name="_Toc102039799"/>
      <w:bookmarkStart w:id="1299" w:name="_Toc102039839"/>
      <w:bookmarkStart w:id="1300" w:name="_Toc102039870"/>
      <w:bookmarkStart w:id="1301" w:name="_Toc102040928"/>
      <w:bookmarkStart w:id="1302" w:name="_Toc102477776"/>
      <w:bookmarkStart w:id="1303" w:name="_Toc102477807"/>
      <w:bookmarkStart w:id="1304" w:name="_Toc109824837"/>
      <w:bookmarkStart w:id="1305" w:name="_Toc109828793"/>
      <w:bookmarkStart w:id="1306" w:name="_Toc109828856"/>
      <w:bookmarkStart w:id="1307" w:name="_Toc109829032"/>
      <w:bookmarkStart w:id="1308" w:name="_Toc109829063"/>
      <w:bookmarkStart w:id="1309" w:name="_Toc109833907"/>
      <w:bookmarkStart w:id="1310" w:name="_Toc110237450"/>
      <w:bookmarkStart w:id="1311" w:name="_Toc117775327"/>
      <w:bookmarkStart w:id="1312" w:name="_Toc117781296"/>
      <w:bookmarkStart w:id="1313" w:name="_Toc125620824"/>
      <w:bookmarkStart w:id="1314" w:name="_Toc125620855"/>
      <w:bookmarkStart w:id="1315" w:name="_Toc125620886"/>
      <w:bookmarkStart w:id="1316" w:name="_Toc125620922"/>
      <w:bookmarkStart w:id="1317" w:name="_Toc125620953"/>
      <w:bookmarkStart w:id="1318" w:name="_Toc125620987"/>
      <w:bookmarkStart w:id="1319" w:name="_Toc125621040"/>
      <w:bookmarkStart w:id="1320" w:name="_Toc125621094"/>
      <w:bookmarkStart w:id="1321" w:name="_Toc125623572"/>
      <w:bookmarkStart w:id="1322" w:name="_Toc125623604"/>
      <w:bookmarkStart w:id="1323" w:name="_Toc125623636"/>
      <w:bookmarkStart w:id="1324" w:name="_Toc125970382"/>
      <w:bookmarkStart w:id="1325" w:name="_Toc125970414"/>
      <w:bookmarkStart w:id="1326" w:name="_Toc127365865"/>
      <w:bookmarkStart w:id="1327" w:name="_Toc127434616"/>
      <w:bookmarkStart w:id="1328" w:name="_Toc127436984"/>
      <w:bookmarkStart w:id="1329" w:name="_Toc127437345"/>
      <w:bookmarkStart w:id="1330" w:name="_Toc127437700"/>
      <w:bookmarkStart w:id="1331" w:name="_Toc133492794"/>
      <w:bookmarkStart w:id="1332" w:name="_Toc133492991"/>
      <w:bookmarkStart w:id="1333" w:name="_Toc133493213"/>
      <w:bookmarkStart w:id="1334" w:name="_Toc133497847"/>
      <w:bookmarkStart w:id="1335" w:name="_Toc133505567"/>
      <w:bookmarkStart w:id="1336" w:name="_Toc133576145"/>
      <w:bookmarkStart w:id="1337" w:name="_Toc133576217"/>
      <w:bookmarkStart w:id="1338" w:name="_Toc133576250"/>
      <w:bookmarkStart w:id="1339" w:name="_Toc133576282"/>
      <w:bookmarkStart w:id="1340" w:name="_Toc133576314"/>
      <w:bookmarkStart w:id="1341" w:name="_Toc133576346"/>
      <w:bookmarkStart w:id="1342" w:name="_Toc133576399"/>
      <w:bookmarkStart w:id="1343" w:name="_Toc133576433"/>
      <w:bookmarkStart w:id="1344" w:name="_Toc133576466"/>
      <w:bookmarkStart w:id="1345" w:name="_Toc133576499"/>
      <w:bookmarkStart w:id="1346" w:name="_Toc141108758"/>
      <w:bookmarkStart w:id="1347" w:name="_Toc141172999"/>
      <w:bookmarkStart w:id="1348" w:name="_Toc141277696"/>
      <w:bookmarkStart w:id="1349" w:name="_Toc141277728"/>
      <w:bookmarkStart w:id="1350" w:name="_Toc141430942"/>
      <w:bookmarkStart w:id="1351" w:name="_Toc152073604"/>
      <w:bookmarkStart w:id="1352" w:name="_Toc152073638"/>
      <w:bookmarkStart w:id="1353" w:name="_Toc152073671"/>
      <w:bookmarkStart w:id="1354" w:name="_Toc152073722"/>
      <w:bookmarkStart w:id="1355" w:name="_Toc152073755"/>
      <w:bookmarkStart w:id="1356" w:name="_Toc152073787"/>
      <w:bookmarkStart w:id="1357" w:name="_Toc152073819"/>
      <w:bookmarkStart w:id="1358" w:name="_Toc152073916"/>
      <w:bookmarkStart w:id="1359" w:name="_Toc152073967"/>
      <w:bookmarkStart w:id="1360" w:name="_Toc152074010"/>
      <w:bookmarkStart w:id="1361" w:name="_Toc152074099"/>
      <w:bookmarkStart w:id="1362" w:name="_Toc152074290"/>
      <w:bookmarkStart w:id="1363" w:name="_Toc152074321"/>
      <w:bookmarkStart w:id="1364" w:name="_Toc152087716"/>
      <w:bookmarkStart w:id="1365" w:name="_Toc152139335"/>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4545F53E" w14:textId="56DDD2B9" w:rsidR="00490038" w:rsidRPr="0064135E" w:rsidRDefault="00C23BDB" w:rsidP="00C56688">
      <w:pPr>
        <w:pStyle w:val="Ttulo2"/>
        <w:numPr>
          <w:ilvl w:val="1"/>
          <w:numId w:val="12"/>
        </w:numPr>
        <w:tabs>
          <w:tab w:val="left" w:pos="426"/>
        </w:tabs>
        <w:spacing w:before="0"/>
        <w:rPr>
          <w:rFonts w:ascii="Times New Roman" w:hAnsi="Times New Roman" w:cs="Times New Roman"/>
          <w:color w:val="auto"/>
          <w:sz w:val="24"/>
        </w:rPr>
      </w:pPr>
      <w:bookmarkStart w:id="1366" w:name="_Toc152139336"/>
      <w:r w:rsidRPr="0064135E">
        <w:rPr>
          <w:rFonts w:ascii="Times New Roman" w:hAnsi="Times New Roman" w:cs="Times New Roman"/>
          <w:color w:val="auto"/>
          <w:sz w:val="24"/>
        </w:rPr>
        <w:t xml:space="preserve">Las erogaciones </w:t>
      </w:r>
      <w:r w:rsidR="0041020F" w:rsidRPr="0064135E">
        <w:rPr>
          <w:rFonts w:ascii="Times New Roman" w:hAnsi="Times New Roman" w:cs="Times New Roman"/>
          <w:color w:val="auto"/>
          <w:sz w:val="24"/>
        </w:rPr>
        <w:t>en</w:t>
      </w:r>
      <w:r w:rsidR="00E026BA" w:rsidRPr="0064135E">
        <w:rPr>
          <w:rFonts w:ascii="Times New Roman" w:hAnsi="Times New Roman" w:cs="Times New Roman"/>
          <w:color w:val="auto"/>
          <w:sz w:val="24"/>
        </w:rPr>
        <w:t xml:space="preserve"> </w:t>
      </w:r>
      <w:r w:rsidR="000671E5">
        <w:rPr>
          <w:rFonts w:ascii="Times New Roman" w:hAnsi="Times New Roman" w:cs="Times New Roman"/>
          <w:color w:val="auto"/>
          <w:sz w:val="24"/>
        </w:rPr>
        <w:t xml:space="preserve">educación </w:t>
      </w:r>
      <w:r w:rsidR="0065733C" w:rsidRPr="0064135E">
        <w:rPr>
          <w:rFonts w:ascii="Times New Roman" w:hAnsi="Times New Roman" w:cs="Times New Roman"/>
          <w:color w:val="auto"/>
          <w:sz w:val="24"/>
        </w:rPr>
        <w:t xml:space="preserve">han sido las </w:t>
      </w:r>
      <w:r w:rsidR="00FE7090" w:rsidRPr="0064135E">
        <w:rPr>
          <w:rFonts w:ascii="Times New Roman" w:hAnsi="Times New Roman" w:cs="Times New Roman"/>
          <w:color w:val="auto"/>
          <w:sz w:val="24"/>
        </w:rPr>
        <w:t>más</w:t>
      </w:r>
      <w:r w:rsidR="0065733C" w:rsidRPr="0064135E">
        <w:rPr>
          <w:rFonts w:ascii="Times New Roman" w:hAnsi="Times New Roman" w:cs="Times New Roman"/>
          <w:color w:val="auto"/>
          <w:sz w:val="24"/>
        </w:rPr>
        <w:t xml:space="preserve"> dinámicas</w:t>
      </w:r>
      <w:bookmarkEnd w:id="1366"/>
    </w:p>
    <w:p w14:paraId="40C12AD4" w14:textId="77777777" w:rsidR="00427566" w:rsidRPr="0064135E" w:rsidRDefault="00FB4E8E" w:rsidP="00E74EAE">
      <w:pPr>
        <w:rPr>
          <w:rFonts w:cs="Times New Roman"/>
          <w:szCs w:val="22"/>
        </w:rPr>
      </w:pPr>
      <w:r w:rsidRPr="0064135E">
        <w:rPr>
          <w:rFonts w:cs="Times New Roman"/>
          <w:szCs w:val="22"/>
        </w:rPr>
        <w:t xml:space="preserve">Al finalizar el tercer trimestre, las erogaciones del gobierno central presupuestario se situaron en </w:t>
      </w:r>
      <w:r w:rsidR="00E74EAE" w:rsidRPr="0064135E">
        <w:rPr>
          <w:rFonts w:cs="Times New Roman"/>
          <w:szCs w:val="22"/>
        </w:rPr>
        <w:t>Q</w:t>
      </w:r>
      <w:r w:rsidR="0043406F" w:rsidRPr="0064135E">
        <w:rPr>
          <w:rFonts w:cs="Times New Roman"/>
          <w:szCs w:val="22"/>
        </w:rPr>
        <w:t>83,776.8 millones</w:t>
      </w:r>
      <w:r w:rsidR="00E74EAE" w:rsidRPr="0064135E">
        <w:rPr>
          <w:rFonts w:cs="Times New Roman"/>
          <w:szCs w:val="22"/>
        </w:rPr>
        <w:t>, que representa un aumento del 1</w:t>
      </w:r>
      <w:r w:rsidR="0043406F" w:rsidRPr="0064135E">
        <w:rPr>
          <w:rFonts w:cs="Times New Roman"/>
          <w:szCs w:val="22"/>
        </w:rPr>
        <w:t>1</w:t>
      </w:r>
      <w:r w:rsidR="00E74EAE" w:rsidRPr="0064135E">
        <w:rPr>
          <w:rFonts w:cs="Times New Roman"/>
          <w:szCs w:val="22"/>
        </w:rPr>
        <w:t>.</w:t>
      </w:r>
      <w:r w:rsidR="0043406F" w:rsidRPr="0064135E">
        <w:rPr>
          <w:rFonts w:cs="Times New Roman"/>
          <w:szCs w:val="22"/>
        </w:rPr>
        <w:t>9</w:t>
      </w:r>
      <w:r w:rsidR="00E74EAE" w:rsidRPr="0064135E">
        <w:rPr>
          <w:rFonts w:cs="Times New Roman"/>
          <w:szCs w:val="22"/>
        </w:rPr>
        <w:t>% (Q</w:t>
      </w:r>
      <w:r w:rsidR="0043406F" w:rsidRPr="0064135E">
        <w:rPr>
          <w:rFonts w:cs="Times New Roman"/>
          <w:szCs w:val="22"/>
        </w:rPr>
        <w:t xml:space="preserve">8,917.4 </w:t>
      </w:r>
      <w:r w:rsidR="00E74EAE" w:rsidRPr="0064135E">
        <w:rPr>
          <w:rFonts w:cs="Times New Roman"/>
          <w:szCs w:val="22"/>
        </w:rPr>
        <w:t xml:space="preserve">millones) respecto del mismo periodo del año previo. </w:t>
      </w:r>
    </w:p>
    <w:p w14:paraId="6107BFCF" w14:textId="77777777" w:rsidR="00427566" w:rsidRPr="0064135E" w:rsidRDefault="00427566" w:rsidP="00E74EAE">
      <w:pPr>
        <w:rPr>
          <w:rFonts w:cs="Times New Roman"/>
          <w:szCs w:val="22"/>
        </w:rPr>
      </w:pPr>
    </w:p>
    <w:p w14:paraId="32F851F6" w14:textId="3B3DB306" w:rsidR="00A53DA8" w:rsidRPr="0064135E" w:rsidRDefault="00427566" w:rsidP="00E74EAE">
      <w:pPr>
        <w:rPr>
          <w:rFonts w:cs="Times New Roman"/>
          <w:szCs w:val="22"/>
        </w:rPr>
      </w:pPr>
      <w:r w:rsidRPr="0064135E">
        <w:rPr>
          <w:rFonts w:cs="Times New Roman"/>
          <w:szCs w:val="22"/>
        </w:rPr>
        <w:t>L</w:t>
      </w:r>
      <w:r w:rsidR="00E74EAE" w:rsidRPr="0064135E">
        <w:rPr>
          <w:rFonts w:cs="Times New Roman"/>
          <w:szCs w:val="22"/>
        </w:rPr>
        <w:t xml:space="preserve">as erogaciones </w:t>
      </w:r>
      <w:r w:rsidR="00A53DA8" w:rsidRPr="0064135E">
        <w:rPr>
          <w:rFonts w:cs="Times New Roman"/>
          <w:szCs w:val="22"/>
        </w:rPr>
        <w:t xml:space="preserve">por función que han sido más dinámicas </w:t>
      </w:r>
      <w:r w:rsidR="003607FB" w:rsidRPr="0064135E">
        <w:rPr>
          <w:rFonts w:cs="Times New Roman"/>
          <w:szCs w:val="22"/>
        </w:rPr>
        <w:t>son</w:t>
      </w:r>
      <w:r w:rsidR="009838BF" w:rsidRPr="0064135E">
        <w:rPr>
          <w:rFonts w:cs="Times New Roman"/>
          <w:szCs w:val="22"/>
        </w:rPr>
        <w:t xml:space="preserve"> </w:t>
      </w:r>
      <w:r w:rsidR="00A53DA8" w:rsidRPr="0064135E">
        <w:rPr>
          <w:rFonts w:cs="Times New Roman"/>
          <w:szCs w:val="22"/>
        </w:rPr>
        <w:t xml:space="preserve">las enfocadas en </w:t>
      </w:r>
      <w:r w:rsidR="003607FB" w:rsidRPr="0064135E">
        <w:rPr>
          <w:rFonts w:cs="Times New Roman"/>
          <w:szCs w:val="22"/>
        </w:rPr>
        <w:t>E</w:t>
      </w:r>
      <w:r w:rsidR="00A53DA8" w:rsidRPr="0064135E">
        <w:rPr>
          <w:rFonts w:cs="Times New Roman"/>
          <w:szCs w:val="22"/>
        </w:rPr>
        <w:t>ducación, las cuales ascienden a un total de Q19,486.7 millones, con un crecimiento del 13.1% (Q2,264.2 millones)</w:t>
      </w:r>
      <w:r w:rsidR="00A10AC0" w:rsidRPr="0064135E">
        <w:rPr>
          <w:rFonts w:cs="Times New Roman"/>
          <w:szCs w:val="22"/>
        </w:rPr>
        <w:t xml:space="preserve"> </w:t>
      </w:r>
      <w:r w:rsidR="009838BF" w:rsidRPr="0064135E">
        <w:rPr>
          <w:rFonts w:cs="Times New Roman"/>
          <w:szCs w:val="22"/>
        </w:rPr>
        <w:t xml:space="preserve">y </w:t>
      </w:r>
      <w:r w:rsidR="00A10AC0" w:rsidRPr="0064135E">
        <w:rPr>
          <w:rFonts w:cs="Times New Roman"/>
          <w:szCs w:val="22"/>
        </w:rPr>
        <w:t xml:space="preserve">de los cuales </w:t>
      </w:r>
      <w:r w:rsidR="00A42E09" w:rsidRPr="0064135E">
        <w:rPr>
          <w:rFonts w:cs="Times New Roman"/>
          <w:szCs w:val="22"/>
        </w:rPr>
        <w:t xml:space="preserve">se destaca </w:t>
      </w:r>
      <w:r w:rsidR="00A10AC0" w:rsidRPr="0064135E">
        <w:rPr>
          <w:rFonts w:cs="Times New Roman"/>
          <w:szCs w:val="22"/>
        </w:rPr>
        <w:t xml:space="preserve">las </w:t>
      </w:r>
      <w:r w:rsidR="009838BF" w:rsidRPr="0064135E">
        <w:rPr>
          <w:rFonts w:cs="Times New Roman"/>
          <w:szCs w:val="22"/>
        </w:rPr>
        <w:t>destinadas para atender</w:t>
      </w:r>
      <w:r w:rsidR="00E541F1">
        <w:rPr>
          <w:rFonts w:cs="Times New Roman"/>
          <w:szCs w:val="22"/>
        </w:rPr>
        <w:t xml:space="preserve"> la</w:t>
      </w:r>
      <w:r w:rsidR="009838BF" w:rsidRPr="0064135E">
        <w:rPr>
          <w:rFonts w:cs="Times New Roman"/>
          <w:szCs w:val="22"/>
        </w:rPr>
        <w:t xml:space="preserve"> </w:t>
      </w:r>
      <w:r w:rsidR="003607FB" w:rsidRPr="0064135E">
        <w:rPr>
          <w:rFonts w:cs="Times New Roman"/>
          <w:szCs w:val="22"/>
        </w:rPr>
        <w:t xml:space="preserve">Enseñanza preescolar y primaria </w:t>
      </w:r>
      <w:r w:rsidR="00A213D5" w:rsidRPr="0064135E">
        <w:rPr>
          <w:rFonts w:cs="Times New Roman"/>
          <w:szCs w:val="22"/>
        </w:rPr>
        <w:t xml:space="preserve">que </w:t>
      </w:r>
      <w:r w:rsidR="003607FB" w:rsidRPr="0064135E">
        <w:rPr>
          <w:rFonts w:cs="Times New Roman"/>
          <w:szCs w:val="22"/>
        </w:rPr>
        <w:t xml:space="preserve">se incrementaron en </w:t>
      </w:r>
      <w:r w:rsidR="00A872D2" w:rsidRPr="0064135E">
        <w:rPr>
          <w:rFonts w:cs="Times New Roman"/>
          <w:szCs w:val="22"/>
        </w:rPr>
        <w:t>8.1% (Q744.8 millones)</w:t>
      </w:r>
      <w:r w:rsidR="00BA692E" w:rsidRPr="0064135E">
        <w:rPr>
          <w:rFonts w:cs="Times New Roman"/>
          <w:szCs w:val="22"/>
        </w:rPr>
        <w:t xml:space="preserve">, de los cuales </w:t>
      </w:r>
      <w:r w:rsidR="00C3013F" w:rsidRPr="0064135E">
        <w:rPr>
          <w:rFonts w:cs="Times New Roman"/>
          <w:szCs w:val="22"/>
        </w:rPr>
        <w:t xml:space="preserve">el principal aumento proviene de un mayor gasto en </w:t>
      </w:r>
      <w:r w:rsidR="00994982" w:rsidRPr="0064135E">
        <w:rPr>
          <w:rFonts w:cs="Times New Roman"/>
          <w:szCs w:val="22"/>
        </w:rPr>
        <w:t xml:space="preserve">el pago a Personal permanente </w:t>
      </w:r>
      <w:r w:rsidR="00A213D5" w:rsidRPr="0064135E">
        <w:rPr>
          <w:rFonts w:cs="Times New Roman"/>
          <w:szCs w:val="22"/>
        </w:rPr>
        <w:t>(</w:t>
      </w:r>
      <w:r w:rsidR="00994982" w:rsidRPr="0064135E">
        <w:rPr>
          <w:rFonts w:cs="Times New Roman"/>
          <w:szCs w:val="22"/>
        </w:rPr>
        <w:t>aumento en Q124.9 millones</w:t>
      </w:r>
      <w:r w:rsidR="00A213D5" w:rsidRPr="0064135E">
        <w:rPr>
          <w:rFonts w:cs="Times New Roman"/>
          <w:szCs w:val="22"/>
        </w:rPr>
        <w:t>)</w:t>
      </w:r>
      <w:r w:rsidR="00994982" w:rsidRPr="0064135E">
        <w:rPr>
          <w:rFonts w:cs="Times New Roman"/>
          <w:szCs w:val="22"/>
        </w:rPr>
        <w:t xml:space="preserve"> y de</w:t>
      </w:r>
      <w:r w:rsidR="008539DB" w:rsidRPr="0064135E">
        <w:rPr>
          <w:rFonts w:cs="Times New Roman"/>
          <w:szCs w:val="22"/>
        </w:rPr>
        <w:t xml:space="preserve"> los Derechos </w:t>
      </w:r>
      <w:r w:rsidR="005667C4" w:rsidRPr="0064135E">
        <w:rPr>
          <w:rFonts w:cs="Times New Roman"/>
          <w:szCs w:val="22"/>
        </w:rPr>
        <w:t>e</w:t>
      </w:r>
      <w:r w:rsidR="008539DB" w:rsidRPr="0064135E">
        <w:rPr>
          <w:rFonts w:cs="Times New Roman"/>
          <w:szCs w:val="22"/>
        </w:rPr>
        <w:t xml:space="preserve">scalafonario </w:t>
      </w:r>
      <w:r w:rsidR="00A213D5" w:rsidRPr="0064135E">
        <w:rPr>
          <w:rFonts w:cs="Times New Roman"/>
          <w:szCs w:val="22"/>
        </w:rPr>
        <w:t>(</w:t>
      </w:r>
      <w:r w:rsidR="008539DB" w:rsidRPr="0064135E">
        <w:rPr>
          <w:rFonts w:cs="Times New Roman"/>
          <w:szCs w:val="22"/>
        </w:rPr>
        <w:t>aumentaron en Q290.8 millones</w:t>
      </w:r>
      <w:r w:rsidR="00A213D5" w:rsidRPr="0064135E">
        <w:rPr>
          <w:rFonts w:cs="Times New Roman"/>
          <w:szCs w:val="22"/>
        </w:rPr>
        <w:t>)</w:t>
      </w:r>
      <w:r w:rsidR="008539DB" w:rsidRPr="0064135E">
        <w:rPr>
          <w:rFonts w:cs="Times New Roman"/>
          <w:szCs w:val="22"/>
        </w:rPr>
        <w:t>, además de las erogaciones en</w:t>
      </w:r>
      <w:r w:rsidR="00A872D2" w:rsidRPr="0064135E">
        <w:rPr>
          <w:rFonts w:cs="Times New Roman"/>
          <w:szCs w:val="22"/>
        </w:rPr>
        <w:t xml:space="preserve"> Servicios auxiliares de la educación</w:t>
      </w:r>
      <w:r w:rsidR="00E922CB" w:rsidRPr="0064135E">
        <w:rPr>
          <w:rFonts w:cs="Times New Roman"/>
          <w:szCs w:val="22"/>
        </w:rPr>
        <w:t xml:space="preserve"> que aumentó en 16.5% (Q670.7 millones)</w:t>
      </w:r>
      <w:r w:rsidR="00D14352" w:rsidRPr="0064135E">
        <w:rPr>
          <w:rFonts w:cs="Times New Roman"/>
          <w:szCs w:val="22"/>
        </w:rPr>
        <w:t xml:space="preserve"> principalmente por las Transferencias a Otras instituciones sin fines de lucro</w:t>
      </w:r>
      <w:r w:rsidR="005659F9">
        <w:rPr>
          <w:rFonts w:cs="Times New Roman"/>
          <w:szCs w:val="22"/>
        </w:rPr>
        <w:t xml:space="preserve"> </w:t>
      </w:r>
      <w:r w:rsidR="005659F9" w:rsidRPr="0064135E">
        <w:rPr>
          <w:rFonts w:cs="Times New Roman"/>
          <w:szCs w:val="22"/>
        </w:rPr>
        <w:t>(aumentó en Q488.8 millones</w:t>
      </w:r>
      <w:r w:rsidR="00FD2009" w:rsidRPr="0064135E">
        <w:rPr>
          <w:rFonts w:cs="Times New Roman"/>
          <w:szCs w:val="22"/>
        </w:rPr>
        <w:t xml:space="preserve"> </w:t>
      </w:r>
      <w:r w:rsidR="008C1541" w:rsidRPr="0064135E">
        <w:rPr>
          <w:rFonts w:cs="Times New Roman"/>
          <w:szCs w:val="22"/>
        </w:rPr>
        <w:t xml:space="preserve">que </w:t>
      </w:r>
      <w:r w:rsidR="00FD2009" w:rsidRPr="0064135E">
        <w:rPr>
          <w:rFonts w:cs="Times New Roman"/>
          <w:szCs w:val="22"/>
        </w:rPr>
        <w:t xml:space="preserve">contiene el aporte otorgado </w:t>
      </w:r>
      <w:r w:rsidR="0072598D" w:rsidRPr="0064135E">
        <w:rPr>
          <w:rFonts w:cs="Times New Roman"/>
          <w:szCs w:val="22"/>
        </w:rPr>
        <w:t>p</w:t>
      </w:r>
      <w:r w:rsidR="008C1541" w:rsidRPr="0064135E">
        <w:rPr>
          <w:rFonts w:cs="Times New Roman"/>
          <w:szCs w:val="22"/>
        </w:rPr>
        <w:t>a</w:t>
      </w:r>
      <w:r w:rsidR="0072598D" w:rsidRPr="0064135E">
        <w:rPr>
          <w:rFonts w:cs="Times New Roman"/>
          <w:szCs w:val="22"/>
        </w:rPr>
        <w:t>r</w:t>
      </w:r>
      <w:r w:rsidR="008C1541" w:rsidRPr="0064135E">
        <w:rPr>
          <w:rFonts w:cs="Times New Roman"/>
          <w:szCs w:val="22"/>
        </w:rPr>
        <w:t>a</w:t>
      </w:r>
      <w:r w:rsidR="0072598D" w:rsidRPr="0064135E">
        <w:rPr>
          <w:rFonts w:cs="Times New Roman"/>
          <w:szCs w:val="22"/>
        </w:rPr>
        <w:t xml:space="preserve"> </w:t>
      </w:r>
      <w:r w:rsidR="00A53324" w:rsidRPr="0064135E">
        <w:rPr>
          <w:rFonts w:cs="Times New Roman"/>
          <w:szCs w:val="22"/>
        </w:rPr>
        <w:t>la alimentación</w:t>
      </w:r>
      <w:r w:rsidR="0072598D" w:rsidRPr="0064135E">
        <w:rPr>
          <w:rFonts w:cs="Times New Roman"/>
          <w:szCs w:val="22"/>
        </w:rPr>
        <w:t xml:space="preserve"> escolar</w:t>
      </w:r>
      <w:r w:rsidR="008C1541" w:rsidRPr="0064135E">
        <w:rPr>
          <w:rFonts w:cs="Times New Roman"/>
          <w:szCs w:val="22"/>
        </w:rPr>
        <w:t>)</w:t>
      </w:r>
      <w:r w:rsidR="0072598D" w:rsidRPr="0064135E">
        <w:rPr>
          <w:rFonts w:cs="Times New Roman"/>
          <w:szCs w:val="22"/>
        </w:rPr>
        <w:t>.</w:t>
      </w:r>
    </w:p>
    <w:p w14:paraId="27C29415" w14:textId="77777777" w:rsidR="00A10AC0" w:rsidRPr="0064135E" w:rsidRDefault="00A10AC0" w:rsidP="00E74EAE">
      <w:pPr>
        <w:rPr>
          <w:rFonts w:cs="Times New Roman"/>
          <w:szCs w:val="22"/>
        </w:rPr>
      </w:pPr>
    </w:p>
    <w:p w14:paraId="4C8BF699" w14:textId="5444E36F" w:rsidR="00E74EAE" w:rsidRPr="0064135E" w:rsidRDefault="00766451" w:rsidP="00E74EAE">
      <w:pPr>
        <w:rPr>
          <w:rFonts w:cs="Times New Roman"/>
          <w:szCs w:val="22"/>
        </w:rPr>
      </w:pPr>
      <w:r w:rsidRPr="0064135E">
        <w:rPr>
          <w:rFonts w:cs="Times New Roman"/>
          <w:szCs w:val="22"/>
        </w:rPr>
        <w:t>Por su parte, las erogaciones en</w:t>
      </w:r>
      <w:r w:rsidR="00E74EAE" w:rsidRPr="0064135E">
        <w:rPr>
          <w:rFonts w:cs="Times New Roman"/>
          <w:szCs w:val="22"/>
        </w:rPr>
        <w:t xml:space="preserve"> protección social </w:t>
      </w:r>
      <w:r w:rsidRPr="0064135E">
        <w:rPr>
          <w:rFonts w:cs="Times New Roman"/>
          <w:szCs w:val="22"/>
        </w:rPr>
        <w:t>tienen una</w:t>
      </w:r>
      <w:r w:rsidR="00E74EAE" w:rsidRPr="0064135E">
        <w:rPr>
          <w:rFonts w:cs="Times New Roman"/>
          <w:szCs w:val="22"/>
        </w:rPr>
        <w:t xml:space="preserve"> ejecución de Q</w:t>
      </w:r>
      <w:r w:rsidR="00804AB1" w:rsidRPr="0064135E">
        <w:rPr>
          <w:rFonts w:cs="Times New Roman"/>
          <w:szCs w:val="22"/>
        </w:rPr>
        <w:t>10,445.1</w:t>
      </w:r>
      <w:r w:rsidR="00E74EAE" w:rsidRPr="0064135E">
        <w:rPr>
          <w:rFonts w:cs="Times New Roman"/>
          <w:szCs w:val="22"/>
        </w:rPr>
        <w:t xml:space="preserve"> millones </w:t>
      </w:r>
      <w:r w:rsidR="00804AB1" w:rsidRPr="0064135E">
        <w:rPr>
          <w:rFonts w:cs="Times New Roman"/>
          <w:szCs w:val="22"/>
        </w:rPr>
        <w:t>siendo</w:t>
      </w:r>
      <w:r w:rsidR="00E74EAE" w:rsidRPr="0064135E">
        <w:rPr>
          <w:rFonts w:cs="Times New Roman"/>
          <w:szCs w:val="22"/>
        </w:rPr>
        <w:t xml:space="preserve"> un aumento del </w:t>
      </w:r>
      <w:r w:rsidR="00804AB1" w:rsidRPr="0064135E">
        <w:rPr>
          <w:rFonts w:cs="Times New Roman"/>
          <w:szCs w:val="22"/>
        </w:rPr>
        <w:t>25.9</w:t>
      </w:r>
      <w:r w:rsidR="00E74EAE" w:rsidRPr="0064135E">
        <w:rPr>
          <w:rFonts w:cs="Times New Roman"/>
          <w:szCs w:val="22"/>
        </w:rPr>
        <w:t>% (Q</w:t>
      </w:r>
      <w:r w:rsidR="00FC79E1" w:rsidRPr="0064135E">
        <w:rPr>
          <w:rFonts w:cs="Times New Roman"/>
          <w:szCs w:val="22"/>
        </w:rPr>
        <w:t>2,147.4 millones</w:t>
      </w:r>
      <w:r w:rsidR="00AE1D1C" w:rsidRPr="0064135E">
        <w:rPr>
          <w:rFonts w:cs="Times New Roman"/>
          <w:szCs w:val="22"/>
        </w:rPr>
        <w:t>)</w:t>
      </w:r>
      <w:r w:rsidR="00924CEA" w:rsidRPr="0064135E">
        <w:rPr>
          <w:rFonts w:cs="Times New Roman"/>
          <w:szCs w:val="22"/>
        </w:rPr>
        <w:t xml:space="preserve"> respecto al año previo</w:t>
      </w:r>
      <w:r w:rsidR="00E74EAE" w:rsidRPr="0064135E">
        <w:rPr>
          <w:rFonts w:cs="Times New Roman"/>
          <w:szCs w:val="22"/>
        </w:rPr>
        <w:t xml:space="preserve">. </w:t>
      </w:r>
      <w:r w:rsidR="004B338A" w:rsidRPr="0064135E">
        <w:rPr>
          <w:rFonts w:cs="Times New Roman"/>
          <w:szCs w:val="22"/>
        </w:rPr>
        <w:t xml:space="preserve">La subcategoría </w:t>
      </w:r>
      <w:r w:rsidR="00CA7E69" w:rsidRPr="0064135E">
        <w:rPr>
          <w:rFonts w:cs="Times New Roman"/>
          <w:szCs w:val="22"/>
        </w:rPr>
        <w:t>más</w:t>
      </w:r>
      <w:r w:rsidR="004B338A" w:rsidRPr="0064135E">
        <w:rPr>
          <w:rFonts w:cs="Times New Roman"/>
          <w:szCs w:val="22"/>
        </w:rPr>
        <w:t xml:space="preserve"> destacada e</w:t>
      </w:r>
      <w:r w:rsidR="008F4E06" w:rsidRPr="0064135E">
        <w:rPr>
          <w:rFonts w:cs="Times New Roman"/>
          <w:szCs w:val="22"/>
        </w:rPr>
        <w:t>s la erogación enfocada a la P</w:t>
      </w:r>
      <w:r w:rsidR="00E74EAE" w:rsidRPr="0064135E">
        <w:rPr>
          <w:rFonts w:cs="Times New Roman"/>
          <w:szCs w:val="22"/>
        </w:rPr>
        <w:t>rotección por edad avanzada</w:t>
      </w:r>
      <w:r w:rsidR="008F4E06" w:rsidRPr="0064135E">
        <w:rPr>
          <w:rFonts w:cs="Times New Roman"/>
          <w:szCs w:val="22"/>
        </w:rPr>
        <w:t xml:space="preserve"> la cual asciende a </w:t>
      </w:r>
      <w:r w:rsidR="00E74EAE" w:rsidRPr="0064135E">
        <w:rPr>
          <w:rFonts w:cs="Times New Roman"/>
          <w:szCs w:val="22"/>
        </w:rPr>
        <w:t>Q</w:t>
      </w:r>
      <w:r w:rsidR="0090052E" w:rsidRPr="0064135E">
        <w:rPr>
          <w:rFonts w:cs="Times New Roman"/>
          <w:szCs w:val="22"/>
        </w:rPr>
        <w:t>7,529.5 millones</w:t>
      </w:r>
      <w:r w:rsidR="00E74EAE" w:rsidRPr="0064135E">
        <w:rPr>
          <w:rFonts w:cs="Times New Roman"/>
          <w:szCs w:val="22"/>
        </w:rPr>
        <w:t xml:space="preserve"> </w:t>
      </w:r>
      <w:r w:rsidR="00CA7E69" w:rsidRPr="0064135E">
        <w:rPr>
          <w:rFonts w:cs="Times New Roman"/>
          <w:szCs w:val="22"/>
        </w:rPr>
        <w:t>teniendo un</w:t>
      </w:r>
      <w:r w:rsidR="00E74EAE" w:rsidRPr="0064135E">
        <w:rPr>
          <w:rFonts w:cs="Times New Roman"/>
          <w:szCs w:val="22"/>
        </w:rPr>
        <w:t xml:space="preserve"> aumento de</w:t>
      </w:r>
      <w:r w:rsidR="00CA7E69" w:rsidRPr="0064135E">
        <w:rPr>
          <w:rFonts w:cs="Times New Roman"/>
          <w:szCs w:val="22"/>
        </w:rPr>
        <w:t>l</w:t>
      </w:r>
      <w:r w:rsidR="00E74EAE" w:rsidRPr="0064135E">
        <w:rPr>
          <w:rFonts w:cs="Times New Roman"/>
          <w:szCs w:val="22"/>
        </w:rPr>
        <w:t xml:space="preserve"> </w:t>
      </w:r>
      <w:r w:rsidR="00CA7E69" w:rsidRPr="0064135E">
        <w:rPr>
          <w:rFonts w:cs="Times New Roman"/>
          <w:szCs w:val="22"/>
        </w:rPr>
        <w:t>20.9</w:t>
      </w:r>
      <w:r w:rsidR="00E74EAE" w:rsidRPr="0064135E">
        <w:rPr>
          <w:rFonts w:cs="Times New Roman"/>
          <w:szCs w:val="22"/>
        </w:rPr>
        <w:t>% (Q</w:t>
      </w:r>
      <w:r w:rsidR="00CA7E69" w:rsidRPr="0064135E">
        <w:rPr>
          <w:rFonts w:cs="Times New Roman"/>
          <w:szCs w:val="22"/>
        </w:rPr>
        <w:t xml:space="preserve">1,301.4 </w:t>
      </w:r>
      <w:r w:rsidR="00E74EAE" w:rsidRPr="0064135E">
        <w:rPr>
          <w:rFonts w:cs="Times New Roman"/>
          <w:szCs w:val="22"/>
        </w:rPr>
        <w:t>millones)</w:t>
      </w:r>
      <w:r w:rsidR="00AA1E8D" w:rsidRPr="0064135E">
        <w:rPr>
          <w:rFonts w:cs="Times New Roman"/>
          <w:szCs w:val="22"/>
        </w:rPr>
        <w:t xml:space="preserve"> y</w:t>
      </w:r>
      <w:r w:rsidR="00AB0764" w:rsidRPr="0064135E">
        <w:rPr>
          <w:rFonts w:cs="Times New Roman"/>
          <w:szCs w:val="22"/>
        </w:rPr>
        <w:t xml:space="preserve"> </w:t>
      </w:r>
      <w:r w:rsidR="00224EFE" w:rsidRPr="0064135E">
        <w:rPr>
          <w:rFonts w:cs="Times New Roman"/>
          <w:szCs w:val="22"/>
        </w:rPr>
        <w:t>explicado principalmente por el pago en jubilaciones y/o retiros</w:t>
      </w:r>
      <w:r w:rsidR="00136F81" w:rsidRPr="0064135E">
        <w:rPr>
          <w:rFonts w:cs="Times New Roman"/>
          <w:szCs w:val="22"/>
        </w:rPr>
        <w:t xml:space="preserve"> que se realiza a través de las Obligaciones del Estado a Cargo del Tesoro</w:t>
      </w:r>
      <w:r w:rsidR="00540278" w:rsidRPr="0064135E">
        <w:rPr>
          <w:rFonts w:cs="Times New Roman"/>
          <w:szCs w:val="22"/>
        </w:rPr>
        <w:t>.</w:t>
      </w:r>
    </w:p>
    <w:p w14:paraId="30802D84" w14:textId="77777777" w:rsidR="00E74EAE" w:rsidRPr="0064135E" w:rsidRDefault="00E74EAE" w:rsidP="00E74EAE">
      <w:pPr>
        <w:rPr>
          <w:rFonts w:cs="Times New Roman"/>
          <w:szCs w:val="22"/>
        </w:rPr>
      </w:pPr>
    </w:p>
    <w:p w14:paraId="09B51A95" w14:textId="03A66716" w:rsidR="00004307" w:rsidRPr="0064135E" w:rsidRDefault="00020F04" w:rsidP="00E74EAE">
      <w:pPr>
        <w:rPr>
          <w:rFonts w:cs="Times New Roman"/>
          <w:szCs w:val="22"/>
        </w:rPr>
      </w:pPr>
      <w:r w:rsidRPr="0064135E">
        <w:rPr>
          <w:rFonts w:cs="Times New Roman"/>
          <w:szCs w:val="22"/>
        </w:rPr>
        <w:t>L</w:t>
      </w:r>
      <w:r w:rsidR="00E74EAE" w:rsidRPr="0064135E">
        <w:rPr>
          <w:rFonts w:cs="Times New Roman"/>
          <w:szCs w:val="22"/>
        </w:rPr>
        <w:t xml:space="preserve">as erogaciones destinadas </w:t>
      </w:r>
      <w:r w:rsidR="00690AC3" w:rsidRPr="0064135E">
        <w:rPr>
          <w:rFonts w:cs="Times New Roman"/>
          <w:szCs w:val="22"/>
        </w:rPr>
        <w:t xml:space="preserve">a </w:t>
      </w:r>
      <w:r w:rsidR="00E74EAE" w:rsidRPr="0064135E">
        <w:rPr>
          <w:rFonts w:cs="Times New Roman"/>
          <w:szCs w:val="22"/>
        </w:rPr>
        <w:t xml:space="preserve">los </w:t>
      </w:r>
      <w:r w:rsidR="00C703DB" w:rsidRPr="0064135E">
        <w:rPr>
          <w:rFonts w:cs="Times New Roman"/>
          <w:szCs w:val="22"/>
        </w:rPr>
        <w:t>S</w:t>
      </w:r>
      <w:r w:rsidR="00E74EAE" w:rsidRPr="0064135E">
        <w:rPr>
          <w:rFonts w:cs="Times New Roman"/>
          <w:szCs w:val="22"/>
        </w:rPr>
        <w:t xml:space="preserve">ervicios públicos generales </w:t>
      </w:r>
      <w:r w:rsidR="00AA5124" w:rsidRPr="0064135E">
        <w:rPr>
          <w:rFonts w:cs="Times New Roman"/>
          <w:szCs w:val="22"/>
        </w:rPr>
        <w:t xml:space="preserve">ascendieron a </w:t>
      </w:r>
      <w:r w:rsidR="00E74EAE" w:rsidRPr="0064135E">
        <w:rPr>
          <w:rFonts w:cs="Times New Roman"/>
          <w:szCs w:val="22"/>
        </w:rPr>
        <w:t>Q</w:t>
      </w:r>
      <w:r w:rsidR="00AA5124" w:rsidRPr="0064135E">
        <w:rPr>
          <w:rFonts w:cs="Times New Roman"/>
          <w:szCs w:val="22"/>
        </w:rPr>
        <w:t>15,836.1</w:t>
      </w:r>
      <w:r w:rsidR="00E74EAE" w:rsidRPr="0064135E">
        <w:rPr>
          <w:rFonts w:cs="Times New Roman"/>
          <w:szCs w:val="22"/>
        </w:rPr>
        <w:t xml:space="preserve"> millones</w:t>
      </w:r>
      <w:r w:rsidR="00AA5124" w:rsidRPr="0064135E">
        <w:rPr>
          <w:rFonts w:cs="Times New Roman"/>
          <w:szCs w:val="22"/>
        </w:rPr>
        <w:t xml:space="preserve"> con una</w:t>
      </w:r>
      <w:r w:rsidR="00E74EAE" w:rsidRPr="0064135E">
        <w:rPr>
          <w:rFonts w:cs="Times New Roman"/>
          <w:szCs w:val="22"/>
        </w:rPr>
        <w:t xml:space="preserve"> variación interanual de</w:t>
      </w:r>
      <w:r w:rsidR="00AA5124" w:rsidRPr="0064135E">
        <w:rPr>
          <w:rFonts w:cs="Times New Roman"/>
          <w:szCs w:val="22"/>
        </w:rPr>
        <w:t>l</w:t>
      </w:r>
      <w:r w:rsidR="00E74EAE" w:rsidRPr="0064135E">
        <w:rPr>
          <w:rFonts w:cs="Times New Roman"/>
          <w:szCs w:val="22"/>
        </w:rPr>
        <w:t xml:space="preserve"> </w:t>
      </w:r>
      <w:r w:rsidR="00AA5124" w:rsidRPr="0064135E">
        <w:rPr>
          <w:rFonts w:cs="Times New Roman"/>
          <w:szCs w:val="22"/>
        </w:rPr>
        <w:t>14.4</w:t>
      </w:r>
      <w:r w:rsidR="00E74EAE" w:rsidRPr="0064135E">
        <w:rPr>
          <w:rFonts w:cs="Times New Roman"/>
          <w:szCs w:val="22"/>
        </w:rPr>
        <w:t>% (</w:t>
      </w:r>
      <w:r w:rsidR="00AA5124" w:rsidRPr="0064135E">
        <w:rPr>
          <w:rFonts w:cs="Times New Roman"/>
          <w:szCs w:val="22"/>
        </w:rPr>
        <w:t>Q1,992.9</w:t>
      </w:r>
      <w:r w:rsidR="00E74EAE" w:rsidRPr="0064135E">
        <w:rPr>
          <w:rFonts w:cs="Times New Roman"/>
          <w:szCs w:val="22"/>
        </w:rPr>
        <w:t xml:space="preserve"> millones)</w:t>
      </w:r>
      <w:r w:rsidR="00C703DB" w:rsidRPr="0064135E">
        <w:rPr>
          <w:rFonts w:cs="Times New Roman"/>
          <w:szCs w:val="22"/>
        </w:rPr>
        <w:t xml:space="preserve"> y siendo las más destacables las enfocadas en </w:t>
      </w:r>
      <w:r w:rsidR="00AF6688">
        <w:rPr>
          <w:rFonts w:cs="Times New Roman"/>
          <w:szCs w:val="22"/>
        </w:rPr>
        <w:t>Transacciones</w:t>
      </w:r>
      <w:r w:rsidR="00E74EAE" w:rsidRPr="0064135E">
        <w:rPr>
          <w:rFonts w:cs="Times New Roman"/>
          <w:szCs w:val="22"/>
        </w:rPr>
        <w:t xml:space="preserve"> de la deuda pública </w:t>
      </w:r>
      <w:r w:rsidR="00C703DB" w:rsidRPr="0064135E">
        <w:rPr>
          <w:rFonts w:cs="Times New Roman"/>
          <w:szCs w:val="22"/>
        </w:rPr>
        <w:t xml:space="preserve">que se sitúan en </w:t>
      </w:r>
      <w:r w:rsidR="00E74EAE" w:rsidRPr="0064135E">
        <w:rPr>
          <w:rFonts w:cs="Times New Roman"/>
          <w:szCs w:val="22"/>
        </w:rPr>
        <w:t>Q</w:t>
      </w:r>
      <w:r w:rsidR="002B2869" w:rsidRPr="0064135E">
        <w:rPr>
          <w:rFonts w:cs="Times New Roman"/>
          <w:szCs w:val="22"/>
        </w:rPr>
        <w:t>9,486.2 millones</w:t>
      </w:r>
      <w:r w:rsidR="001A65FA" w:rsidRPr="0064135E">
        <w:rPr>
          <w:rFonts w:cs="Times New Roman"/>
          <w:szCs w:val="22"/>
        </w:rPr>
        <w:t xml:space="preserve"> y mostrando un crecimiento del 11.2</w:t>
      </w:r>
      <w:r w:rsidR="00E74EAE" w:rsidRPr="0064135E">
        <w:rPr>
          <w:rFonts w:cs="Times New Roman"/>
          <w:szCs w:val="22"/>
        </w:rPr>
        <w:t>% (Q</w:t>
      </w:r>
      <w:r w:rsidR="001A65FA" w:rsidRPr="0064135E">
        <w:rPr>
          <w:rFonts w:cs="Times New Roman"/>
          <w:szCs w:val="22"/>
        </w:rPr>
        <w:t>958.3</w:t>
      </w:r>
      <w:r w:rsidR="00E74EAE" w:rsidRPr="0064135E">
        <w:rPr>
          <w:rFonts w:cs="Times New Roman"/>
          <w:szCs w:val="22"/>
        </w:rPr>
        <w:t xml:space="preserve"> millones)</w:t>
      </w:r>
      <w:r w:rsidR="001A65FA" w:rsidRPr="0064135E">
        <w:rPr>
          <w:rFonts w:cs="Times New Roman"/>
          <w:szCs w:val="22"/>
        </w:rPr>
        <w:t>.</w:t>
      </w:r>
    </w:p>
    <w:p w14:paraId="775E4BEF" w14:textId="1E99B4AD" w:rsidR="004B43FA" w:rsidRPr="0064135E" w:rsidRDefault="004B43FA" w:rsidP="00E74EAE">
      <w:pPr>
        <w:rPr>
          <w:rFonts w:cs="Times New Roman"/>
          <w:szCs w:val="22"/>
        </w:rPr>
      </w:pPr>
      <w:r w:rsidRPr="0064135E">
        <w:rPr>
          <w:rFonts w:cs="Times New Roman"/>
          <w:noProof/>
          <w:lang w:eastAsia="es-GT"/>
        </w:rPr>
        <w:drawing>
          <wp:inline distT="0" distB="0" distL="0" distR="0" wp14:anchorId="06432DC7" wp14:editId="217C8A9B">
            <wp:extent cx="5934710" cy="3101645"/>
            <wp:effectExtent l="0" t="0" r="8890" b="38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75F02C" w14:textId="77777777" w:rsidR="00756F34" w:rsidRDefault="00756F34" w:rsidP="00004307">
      <w:pPr>
        <w:rPr>
          <w:rFonts w:cs="Times New Roman"/>
          <w:szCs w:val="22"/>
        </w:rPr>
      </w:pPr>
    </w:p>
    <w:p w14:paraId="35E5451B" w14:textId="51C4EC81" w:rsidR="00DC762C" w:rsidRPr="0064135E" w:rsidRDefault="002B2869" w:rsidP="00004307">
      <w:pPr>
        <w:rPr>
          <w:rFonts w:cs="Times New Roman"/>
          <w:szCs w:val="22"/>
        </w:rPr>
      </w:pPr>
      <w:r w:rsidRPr="0064135E">
        <w:rPr>
          <w:rFonts w:cs="Times New Roman"/>
          <w:szCs w:val="22"/>
        </w:rPr>
        <w:t xml:space="preserve">En cuanto a las erogaciones </w:t>
      </w:r>
      <w:r w:rsidR="00FF6E64" w:rsidRPr="0064135E">
        <w:rPr>
          <w:rFonts w:cs="Times New Roman"/>
          <w:szCs w:val="22"/>
        </w:rPr>
        <w:t>para la función de Orden público y seguridad, es</w:t>
      </w:r>
      <w:r w:rsidR="00906671">
        <w:rPr>
          <w:rFonts w:cs="Times New Roman"/>
          <w:szCs w:val="22"/>
        </w:rPr>
        <w:t>t</w:t>
      </w:r>
      <w:r w:rsidR="00FF6E64" w:rsidRPr="0064135E">
        <w:rPr>
          <w:rFonts w:cs="Times New Roman"/>
          <w:szCs w:val="22"/>
        </w:rPr>
        <w:t xml:space="preserve">as se sitúan al tercer </w:t>
      </w:r>
      <w:r w:rsidR="007D5694" w:rsidRPr="0064135E">
        <w:rPr>
          <w:rFonts w:cs="Times New Roman"/>
          <w:szCs w:val="22"/>
        </w:rPr>
        <w:t>trimestre</w:t>
      </w:r>
      <w:r w:rsidR="00FF6E64" w:rsidRPr="0064135E">
        <w:rPr>
          <w:rFonts w:cs="Times New Roman"/>
          <w:szCs w:val="22"/>
        </w:rPr>
        <w:t xml:space="preserve"> en Q</w:t>
      </w:r>
      <w:r w:rsidR="007D5694" w:rsidRPr="0064135E">
        <w:rPr>
          <w:rFonts w:cs="Times New Roman"/>
          <w:szCs w:val="22"/>
        </w:rPr>
        <w:t>10,142.2 millones con una tasa de crecimiento del 13.8%</w:t>
      </w:r>
      <w:r w:rsidR="009421A6">
        <w:rPr>
          <w:rFonts w:cs="Times New Roman"/>
          <w:szCs w:val="22"/>
        </w:rPr>
        <w:t xml:space="preserve"> </w:t>
      </w:r>
      <w:r w:rsidR="007D5694" w:rsidRPr="0064135E">
        <w:rPr>
          <w:rFonts w:cs="Times New Roman"/>
          <w:szCs w:val="22"/>
        </w:rPr>
        <w:t>(Q</w:t>
      </w:r>
      <w:r w:rsidR="00DC762C" w:rsidRPr="0064135E">
        <w:rPr>
          <w:rFonts w:cs="Times New Roman"/>
          <w:szCs w:val="22"/>
        </w:rPr>
        <w:t xml:space="preserve">1,228.8 millones), seguido de las erogaciones enfocada a Vivienda y servicios comunitarios </w:t>
      </w:r>
      <w:r w:rsidR="000D00F8" w:rsidRPr="0064135E">
        <w:rPr>
          <w:rFonts w:cs="Times New Roman"/>
          <w:szCs w:val="22"/>
        </w:rPr>
        <w:t xml:space="preserve">que </w:t>
      </w:r>
      <w:r w:rsidR="00DC762C" w:rsidRPr="0064135E">
        <w:rPr>
          <w:rFonts w:cs="Times New Roman"/>
          <w:szCs w:val="22"/>
        </w:rPr>
        <w:t>ascienden a Q</w:t>
      </w:r>
      <w:r w:rsidR="000D00F8" w:rsidRPr="0064135E">
        <w:rPr>
          <w:rFonts w:cs="Times New Roman"/>
          <w:szCs w:val="22"/>
        </w:rPr>
        <w:t xml:space="preserve">8,480.6 </w:t>
      </w:r>
      <w:r w:rsidR="00DC762C" w:rsidRPr="0064135E">
        <w:rPr>
          <w:rFonts w:cs="Times New Roman"/>
          <w:szCs w:val="22"/>
        </w:rPr>
        <w:t xml:space="preserve">millones y mostrando </w:t>
      </w:r>
      <w:r w:rsidR="009421A6" w:rsidRPr="0064135E">
        <w:rPr>
          <w:rFonts w:cs="Times New Roman"/>
          <w:szCs w:val="22"/>
        </w:rPr>
        <w:t>un crecimiento</w:t>
      </w:r>
      <w:r w:rsidR="00DC762C" w:rsidRPr="0064135E">
        <w:rPr>
          <w:rFonts w:cs="Times New Roman"/>
          <w:szCs w:val="22"/>
        </w:rPr>
        <w:t xml:space="preserve"> de</w:t>
      </w:r>
      <w:r w:rsidR="00307E58" w:rsidRPr="0064135E">
        <w:rPr>
          <w:rFonts w:cs="Times New Roman"/>
          <w:szCs w:val="22"/>
        </w:rPr>
        <w:t>l</w:t>
      </w:r>
      <w:r w:rsidR="00DC762C" w:rsidRPr="0064135E">
        <w:rPr>
          <w:rFonts w:cs="Times New Roman"/>
          <w:szCs w:val="22"/>
        </w:rPr>
        <w:t xml:space="preserve"> 1</w:t>
      </w:r>
      <w:r w:rsidR="00307E58" w:rsidRPr="0064135E">
        <w:rPr>
          <w:rFonts w:cs="Times New Roman"/>
          <w:szCs w:val="22"/>
        </w:rPr>
        <w:t>6</w:t>
      </w:r>
      <w:r w:rsidR="00DC762C" w:rsidRPr="0064135E">
        <w:rPr>
          <w:rFonts w:cs="Times New Roman"/>
          <w:szCs w:val="22"/>
        </w:rPr>
        <w:t>.</w:t>
      </w:r>
      <w:r w:rsidR="00307E58" w:rsidRPr="0064135E">
        <w:rPr>
          <w:rFonts w:cs="Times New Roman"/>
          <w:szCs w:val="22"/>
        </w:rPr>
        <w:t>5</w:t>
      </w:r>
      <w:r w:rsidR="00DC762C" w:rsidRPr="0064135E">
        <w:rPr>
          <w:rFonts w:cs="Times New Roman"/>
          <w:szCs w:val="22"/>
        </w:rPr>
        <w:t>% (Q</w:t>
      </w:r>
      <w:r w:rsidR="00307E58" w:rsidRPr="0064135E">
        <w:rPr>
          <w:rFonts w:cs="Times New Roman"/>
          <w:szCs w:val="22"/>
        </w:rPr>
        <w:t>1,200.4</w:t>
      </w:r>
      <w:r w:rsidR="00DC762C" w:rsidRPr="0064135E">
        <w:rPr>
          <w:rFonts w:cs="Times New Roman"/>
          <w:szCs w:val="22"/>
        </w:rPr>
        <w:t xml:space="preserve"> millones)</w:t>
      </w:r>
      <w:r w:rsidR="00E16C64">
        <w:rPr>
          <w:rFonts w:cs="Times New Roman"/>
          <w:szCs w:val="22"/>
        </w:rPr>
        <w:t>.</w:t>
      </w:r>
      <w:r w:rsidR="00307E58" w:rsidRPr="0064135E">
        <w:rPr>
          <w:rFonts w:cs="Times New Roman"/>
          <w:szCs w:val="22"/>
        </w:rPr>
        <w:t xml:space="preserve"> </w:t>
      </w:r>
      <w:r w:rsidR="00E16C64">
        <w:rPr>
          <w:rFonts w:cs="Times New Roman"/>
          <w:szCs w:val="22"/>
        </w:rPr>
        <w:t>L</w:t>
      </w:r>
      <w:r w:rsidR="00307E58" w:rsidRPr="0064135E">
        <w:rPr>
          <w:rFonts w:cs="Times New Roman"/>
          <w:szCs w:val="22"/>
        </w:rPr>
        <w:t xml:space="preserve">as enfocadas </w:t>
      </w:r>
      <w:r w:rsidR="00893220" w:rsidRPr="0064135E">
        <w:rPr>
          <w:rFonts w:cs="Times New Roman"/>
          <w:szCs w:val="22"/>
        </w:rPr>
        <w:t>en Actividades recreativas, cultura y religión son de Q1,130.4 millones</w:t>
      </w:r>
      <w:r w:rsidR="00756F34">
        <w:rPr>
          <w:rFonts w:cs="Times New Roman"/>
          <w:szCs w:val="22"/>
        </w:rPr>
        <w:t>,</w:t>
      </w:r>
      <w:r w:rsidR="00D24D80" w:rsidRPr="0064135E">
        <w:rPr>
          <w:rFonts w:cs="Times New Roman"/>
          <w:szCs w:val="22"/>
        </w:rPr>
        <w:t xml:space="preserve"> teniendo una variación interanual del 39.1% (Q317.9 millones) y las enfocadas para la Protección del medio ambiente se situaron en Q1,111.0 millones</w:t>
      </w:r>
      <w:r w:rsidR="00756F34">
        <w:rPr>
          <w:rFonts w:cs="Times New Roman"/>
          <w:szCs w:val="22"/>
        </w:rPr>
        <w:t>,</w:t>
      </w:r>
      <w:r w:rsidR="00D24D80" w:rsidRPr="0064135E">
        <w:rPr>
          <w:rFonts w:cs="Times New Roman"/>
          <w:szCs w:val="22"/>
        </w:rPr>
        <w:t xml:space="preserve"> </w:t>
      </w:r>
      <w:r w:rsidR="00756F34">
        <w:rPr>
          <w:rFonts w:cs="Times New Roman"/>
          <w:szCs w:val="22"/>
        </w:rPr>
        <w:t>representando</w:t>
      </w:r>
      <w:r w:rsidR="00D24D80" w:rsidRPr="0064135E">
        <w:rPr>
          <w:rFonts w:cs="Times New Roman"/>
          <w:szCs w:val="22"/>
        </w:rPr>
        <w:t xml:space="preserve"> un aumento </w:t>
      </w:r>
      <w:r w:rsidR="0089200E" w:rsidRPr="0064135E">
        <w:rPr>
          <w:rFonts w:cs="Times New Roman"/>
          <w:szCs w:val="22"/>
        </w:rPr>
        <w:t>del 15.7% (Q150.7 millones) respecto al año previo.</w:t>
      </w:r>
    </w:p>
    <w:p w14:paraId="019A1739" w14:textId="77777777" w:rsidR="00DC762C" w:rsidRPr="0064135E" w:rsidRDefault="00DC762C" w:rsidP="00004307">
      <w:pPr>
        <w:rPr>
          <w:rFonts w:cs="Times New Roman"/>
          <w:szCs w:val="22"/>
        </w:rPr>
      </w:pPr>
    </w:p>
    <w:p w14:paraId="07EF79C4" w14:textId="58FA92D7" w:rsidR="000A7603" w:rsidRPr="0064135E" w:rsidRDefault="0089200E" w:rsidP="000A7603">
      <w:pPr>
        <w:rPr>
          <w:rFonts w:cs="Times New Roman"/>
        </w:rPr>
      </w:pPr>
      <w:r w:rsidRPr="0064135E">
        <w:rPr>
          <w:rFonts w:cs="Times New Roman"/>
          <w:szCs w:val="22"/>
        </w:rPr>
        <w:t>Por su parte, las erogaciones enfocadas a</w:t>
      </w:r>
      <w:r w:rsidR="008678FE" w:rsidRPr="0064135E">
        <w:rPr>
          <w:rFonts w:cs="Times New Roman"/>
          <w:szCs w:val="22"/>
        </w:rPr>
        <w:t xml:space="preserve"> Asuntos económicos fueron de Q</w:t>
      </w:r>
      <w:r w:rsidR="008D3378" w:rsidRPr="0064135E">
        <w:rPr>
          <w:rFonts w:cs="Times New Roman"/>
          <w:szCs w:val="22"/>
        </w:rPr>
        <w:t>8,496.3 millones, las destinadas a</w:t>
      </w:r>
      <w:r w:rsidRPr="0064135E">
        <w:rPr>
          <w:rFonts w:cs="Times New Roman"/>
          <w:szCs w:val="22"/>
        </w:rPr>
        <w:t xml:space="preserve"> </w:t>
      </w:r>
      <w:r w:rsidR="000A7603" w:rsidRPr="0064135E">
        <w:rPr>
          <w:rFonts w:cs="Times New Roman"/>
        </w:rPr>
        <w:t>Defensa</w:t>
      </w:r>
      <w:r w:rsidR="00DF1070" w:rsidRPr="0064135E">
        <w:rPr>
          <w:rFonts w:cs="Times New Roman"/>
        </w:rPr>
        <w:t xml:space="preserve"> </w:t>
      </w:r>
      <w:r w:rsidR="008D3378" w:rsidRPr="0064135E">
        <w:rPr>
          <w:rFonts w:cs="Times New Roman"/>
        </w:rPr>
        <w:t xml:space="preserve">fueron de </w:t>
      </w:r>
      <w:r w:rsidR="00D81153" w:rsidRPr="0064135E">
        <w:rPr>
          <w:rFonts w:cs="Times New Roman"/>
        </w:rPr>
        <w:t>Q</w:t>
      </w:r>
      <w:r w:rsidR="008D3378" w:rsidRPr="0064135E">
        <w:rPr>
          <w:rFonts w:cs="Times New Roman"/>
        </w:rPr>
        <w:t xml:space="preserve">1,489.0 </w:t>
      </w:r>
      <w:r w:rsidR="00D81153" w:rsidRPr="0064135E">
        <w:rPr>
          <w:rFonts w:cs="Times New Roman"/>
        </w:rPr>
        <w:t>millones</w:t>
      </w:r>
      <w:r w:rsidR="008D3378" w:rsidRPr="0064135E">
        <w:rPr>
          <w:rFonts w:cs="Times New Roman"/>
        </w:rPr>
        <w:t xml:space="preserve"> y </w:t>
      </w:r>
      <w:r w:rsidR="00B966F9" w:rsidRPr="0064135E">
        <w:rPr>
          <w:rFonts w:cs="Times New Roman"/>
        </w:rPr>
        <w:t xml:space="preserve">en Salud Q7,159.4 millones en la cuales las tres tuvieron una disminución </w:t>
      </w:r>
      <w:r w:rsidR="004D0102" w:rsidRPr="0064135E">
        <w:rPr>
          <w:rFonts w:cs="Times New Roman"/>
        </w:rPr>
        <w:t xml:space="preserve">del 0.5% (Q41.9 millones), 6.8% (Q109.2 millones) y </w:t>
      </w:r>
      <w:r w:rsidR="00B41EBC" w:rsidRPr="0064135E">
        <w:rPr>
          <w:rFonts w:cs="Times New Roman"/>
        </w:rPr>
        <w:t>3.2% (Q233.9</w:t>
      </w:r>
      <w:r w:rsidR="00B966F9" w:rsidRPr="0064135E">
        <w:rPr>
          <w:rFonts w:cs="Times New Roman"/>
        </w:rPr>
        <w:t xml:space="preserve"> </w:t>
      </w:r>
      <w:r w:rsidR="00B41EBC" w:rsidRPr="0064135E">
        <w:rPr>
          <w:rFonts w:cs="Times New Roman"/>
        </w:rPr>
        <w:t xml:space="preserve">millones) </w:t>
      </w:r>
      <w:r w:rsidR="00942599" w:rsidRPr="0064135E">
        <w:rPr>
          <w:rFonts w:cs="Times New Roman"/>
        </w:rPr>
        <w:t>respectivamente.</w:t>
      </w:r>
    </w:p>
    <w:p w14:paraId="351BDBB3" w14:textId="64B5C1EA" w:rsidR="006B6ABD" w:rsidRPr="0064135E" w:rsidRDefault="006B6ABD" w:rsidP="00E74EAE">
      <w:pPr>
        <w:rPr>
          <w:rFonts w:cs="Times New Roman"/>
        </w:rPr>
      </w:pPr>
    </w:p>
    <w:p w14:paraId="75A44C38" w14:textId="3F091ABB" w:rsidR="00513B56" w:rsidRPr="0064135E" w:rsidRDefault="00745BE5" w:rsidP="00C56688">
      <w:pPr>
        <w:pStyle w:val="Ttulo2"/>
        <w:numPr>
          <w:ilvl w:val="1"/>
          <w:numId w:val="12"/>
        </w:numPr>
        <w:tabs>
          <w:tab w:val="left" w:pos="426"/>
        </w:tabs>
        <w:spacing w:before="0"/>
        <w:rPr>
          <w:rFonts w:ascii="Times New Roman" w:hAnsi="Times New Roman" w:cs="Times New Roman"/>
          <w:color w:val="auto"/>
          <w:sz w:val="24"/>
        </w:rPr>
      </w:pPr>
      <w:bookmarkStart w:id="1367" w:name="_Toc152139337"/>
      <w:r w:rsidRPr="0064135E">
        <w:rPr>
          <w:rFonts w:cs="Times New Roman"/>
          <w:noProof/>
          <w:sz w:val="18"/>
          <w:szCs w:val="18"/>
          <w:lang w:eastAsia="es-GT"/>
        </w:rPr>
        <w:drawing>
          <wp:anchor distT="0" distB="0" distL="114300" distR="114300" simplePos="0" relativeHeight="251679748" behindDoc="0" locked="0" layoutInCell="1" allowOverlap="1" wp14:anchorId="068E0A1E" wp14:editId="089FAB6A">
            <wp:simplePos x="0" y="0"/>
            <wp:positionH relativeFrom="margin">
              <wp:posOffset>3415030</wp:posOffset>
            </wp:positionH>
            <wp:positionV relativeFrom="page">
              <wp:posOffset>3232785</wp:posOffset>
            </wp:positionV>
            <wp:extent cx="2555875" cy="5939790"/>
            <wp:effectExtent l="0" t="0" r="0" b="3810"/>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CB5A9E" w:rsidRPr="0064135E">
        <w:rPr>
          <w:rFonts w:ascii="Times New Roman" w:hAnsi="Times New Roman" w:cs="Times New Roman"/>
          <w:color w:val="auto"/>
          <w:sz w:val="24"/>
        </w:rPr>
        <w:t>Ejecución institucional</w:t>
      </w:r>
      <w:bookmarkEnd w:id="1367"/>
    </w:p>
    <w:p w14:paraId="343B86DF" w14:textId="5F6BA0EA" w:rsidR="00586E31" w:rsidRPr="0064135E" w:rsidRDefault="00586E31" w:rsidP="00586E31">
      <w:pPr>
        <w:pStyle w:val="Sinespaciado"/>
        <w:jc w:val="both"/>
        <w:rPr>
          <w:rFonts w:ascii="Times New Roman" w:hAnsi="Times New Roman" w:cs="Times New Roman"/>
        </w:rPr>
      </w:pPr>
      <w:r w:rsidRPr="0064135E">
        <w:rPr>
          <w:rFonts w:ascii="Times New Roman" w:hAnsi="Times New Roman" w:cs="Times New Roman"/>
        </w:rPr>
        <w:t>A nivel del gasto público por entidades, las que muestran el mayor nivel de ejecución son: Energía y Minas (88.4%), Comunicaciones (81.7%),</w:t>
      </w:r>
      <w:r w:rsidRPr="0064135E">
        <w:t xml:space="preserve"> </w:t>
      </w:r>
      <w:r w:rsidRPr="0064135E">
        <w:rPr>
          <w:rFonts w:ascii="Times New Roman" w:hAnsi="Times New Roman" w:cs="Times New Roman"/>
        </w:rPr>
        <w:t xml:space="preserve">Cultura y Deportes (75.6%), Educación (74.2%), Deuda Pública (72.2%), PGN (71.3%), </w:t>
      </w:r>
      <w:proofErr w:type="spellStart"/>
      <w:r w:rsidRPr="0064135E">
        <w:rPr>
          <w:rFonts w:ascii="Times New Roman" w:hAnsi="Times New Roman" w:cs="Times New Roman"/>
        </w:rPr>
        <w:t>Minex</w:t>
      </w:r>
      <w:proofErr w:type="spellEnd"/>
      <w:r w:rsidRPr="0064135E">
        <w:rPr>
          <w:rFonts w:ascii="Times New Roman" w:hAnsi="Times New Roman" w:cs="Times New Roman"/>
        </w:rPr>
        <w:t xml:space="preserve"> (71.3%), Presidencia (71.1%), Gobernación (70.7%) y Defensa (70.6%), todas estas entidades se encuentran por arriba de la ejecución institucional total (70.6%).</w:t>
      </w:r>
    </w:p>
    <w:p w14:paraId="6AB1DC49" w14:textId="71CB4B2A" w:rsidR="00586E31" w:rsidRPr="0064135E" w:rsidRDefault="00586E31" w:rsidP="00586E31">
      <w:pPr>
        <w:pStyle w:val="Sinespaciado"/>
        <w:jc w:val="both"/>
        <w:rPr>
          <w:rFonts w:ascii="Times New Roman" w:hAnsi="Times New Roman" w:cs="Times New Roman"/>
        </w:rPr>
      </w:pPr>
    </w:p>
    <w:p w14:paraId="445CD1D2" w14:textId="6E4F8935" w:rsidR="00586E31" w:rsidRPr="0064135E" w:rsidRDefault="00586E31" w:rsidP="00586E31">
      <w:pPr>
        <w:pStyle w:val="Sinespaciado"/>
        <w:jc w:val="both"/>
        <w:rPr>
          <w:rFonts w:ascii="Times New Roman" w:hAnsi="Times New Roman" w:cs="Times New Roman"/>
        </w:rPr>
      </w:pPr>
      <w:r w:rsidRPr="0064135E">
        <w:rPr>
          <w:rFonts w:ascii="Times New Roman" w:hAnsi="Times New Roman" w:cs="Times New Roman"/>
        </w:rPr>
        <w:t xml:space="preserve">El resto de las entidades se encuentra por debajo de la ejecución institucional total. Resalta el Ministerio de Economía y Ambiente y Recursos Naturales con una ejecución de 64.1% y 61.1%, respectivamente, estando muy por debajo de la ejecución promedio.  </w:t>
      </w:r>
    </w:p>
    <w:p w14:paraId="37EA39A9" w14:textId="77777777" w:rsidR="00586E31" w:rsidRPr="0064135E" w:rsidRDefault="00586E31" w:rsidP="00586E31">
      <w:pPr>
        <w:pStyle w:val="Sinespaciado"/>
        <w:jc w:val="both"/>
        <w:rPr>
          <w:rFonts w:ascii="Times New Roman" w:hAnsi="Times New Roman" w:cs="Times New Roman"/>
        </w:rPr>
      </w:pPr>
    </w:p>
    <w:p w14:paraId="2FB2D01A" w14:textId="3D7EEA74" w:rsidR="00586E31" w:rsidRPr="0064135E" w:rsidRDefault="00586E31" w:rsidP="00586E31">
      <w:pPr>
        <w:pStyle w:val="Sinespaciado"/>
        <w:jc w:val="both"/>
        <w:rPr>
          <w:rFonts w:ascii="Times New Roman" w:hAnsi="Times New Roman" w:cs="Times New Roman"/>
          <w:lang w:val="es-MX"/>
        </w:rPr>
      </w:pPr>
      <w:r w:rsidRPr="0064135E">
        <w:rPr>
          <w:rFonts w:ascii="Times New Roman" w:hAnsi="Times New Roman" w:cs="Times New Roman"/>
          <w:lang w:val="es-MX"/>
        </w:rPr>
        <w:t xml:space="preserve">El Ministerio de Energía y Minas continúa reportando el mayor nivel de ejecución siendo apuntalado por el subsidio al gas propano, que, si bien ya concluyó, este llegó a representar una proporción importante de su presupuesto, finalizando con una ejecución de 99.7%. Aunque en términos interanuales cae 89.2% asociado a que el año pasado se tenían subsidios a los combustibles. </w:t>
      </w:r>
    </w:p>
    <w:p w14:paraId="6CC14707" w14:textId="77777777" w:rsidR="00745BE5" w:rsidRPr="0064135E" w:rsidRDefault="00745BE5" w:rsidP="00586E31">
      <w:pPr>
        <w:pStyle w:val="Sinespaciado"/>
        <w:jc w:val="both"/>
        <w:rPr>
          <w:rFonts w:ascii="Times New Roman" w:hAnsi="Times New Roman" w:cs="Times New Roman"/>
          <w:lang w:val="es-MX"/>
        </w:rPr>
      </w:pPr>
    </w:p>
    <w:p w14:paraId="4BDC6E41" w14:textId="15581953" w:rsidR="00586E31" w:rsidRPr="0064135E" w:rsidRDefault="00586E31" w:rsidP="00586E31">
      <w:pPr>
        <w:pStyle w:val="Sinespaciado"/>
        <w:jc w:val="both"/>
        <w:rPr>
          <w:rFonts w:ascii="Times New Roman" w:hAnsi="Times New Roman" w:cs="Times New Roman"/>
        </w:rPr>
      </w:pPr>
      <w:r w:rsidRPr="0064135E">
        <w:rPr>
          <w:rFonts w:ascii="Times New Roman" w:hAnsi="Times New Roman" w:cs="Times New Roman"/>
        </w:rPr>
        <w:t>En cuanto al Ministerio de Desarrollo Social tuvo una ampliación de su presupuesto por Q300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Q224.8 millones, alcanzando un nivel de 74.2% de su presupuesto vigente. El Ministerio de Desarrollo Social (Mides) contabilizó aproximadamente 45 mil excombatientes inscritos en el programa, a los cuales se les dará Q36 mil en 3 años, según lo establecido en la ley.</w:t>
      </w:r>
    </w:p>
    <w:p w14:paraId="2EF68AEE" w14:textId="21B7D333" w:rsidR="00586E31" w:rsidRPr="0064135E" w:rsidRDefault="00586E31" w:rsidP="00586E31">
      <w:pPr>
        <w:pStyle w:val="Sinespaciado"/>
        <w:jc w:val="both"/>
        <w:rPr>
          <w:rFonts w:ascii="Times New Roman" w:hAnsi="Times New Roman" w:cs="Times New Roman"/>
        </w:rPr>
      </w:pPr>
      <w:r w:rsidRPr="0064135E">
        <w:rPr>
          <w:rFonts w:ascii="Times New Roman" w:hAnsi="Times New Roman" w:cs="Times New Roman"/>
        </w:rPr>
        <w:lastRenderedPageBreak/>
        <w:t>Es destacable el alto nivel de ejecución en el Ministerio de Comunicaciones, Infraestructura y Vivienda, dado que es la entidad con el segundo mayor nivel de ejecución y con el crecimiento interanual más importante, siendo de 54.2%, esto derivado que programas importantes como el desarrollo de la infraestructura vial primaria y secundaria reporta un nivel de ejecución de 80.8% y el desarrollo de la infraestructura vial terciaria reporta un nivel de ejecución de 86.5%. Por su parte, los programas en atención a desastres naturales y calamidades públicas prácticamente han concluido, reportando un nivel de 98.0%.</w:t>
      </w:r>
    </w:p>
    <w:p w14:paraId="433CA04E" w14:textId="0BFEF0C0" w:rsidR="00586E31" w:rsidRPr="0064135E" w:rsidRDefault="00586E31" w:rsidP="00586E31">
      <w:pPr>
        <w:pStyle w:val="Sinespaciado"/>
        <w:jc w:val="both"/>
        <w:rPr>
          <w:rFonts w:ascii="Times New Roman" w:hAnsi="Times New Roman" w:cs="Times New Roman"/>
        </w:rPr>
      </w:pPr>
    </w:p>
    <w:p w14:paraId="07DEB3FF" w14:textId="354EB0A8" w:rsidR="00586E31" w:rsidRPr="0064135E" w:rsidRDefault="00586E31" w:rsidP="00586E31">
      <w:pPr>
        <w:pStyle w:val="Sinespaciado"/>
        <w:jc w:val="both"/>
        <w:rPr>
          <w:rFonts w:ascii="Times New Roman" w:hAnsi="Times New Roman" w:cs="Times New Roman"/>
        </w:rPr>
      </w:pPr>
      <w:r w:rsidRPr="0064135E">
        <w:rPr>
          <w:rFonts w:ascii="Times New Roman" w:hAnsi="Times New Roman" w:cs="Times New Roman"/>
        </w:rPr>
        <w:t>Resalta también el Ministerio de Cultura y Deportes, dado que por lo general esta entidad ha reportado niveles de ejecución modestos, al evaluar la ejecución resalta el dinamismo en la construcción, ampliación y mejoramiento de instalaciones deportivas y recreativas, así como en los servicios de administración y protección de parques, sitios arqueológicos y zonas de rescate cultural y natural.</w:t>
      </w:r>
    </w:p>
    <w:p w14:paraId="05ABE115" w14:textId="77777777" w:rsidR="00586E31" w:rsidRPr="0064135E" w:rsidRDefault="00586E31" w:rsidP="00586E31">
      <w:pPr>
        <w:pStyle w:val="Sinespaciado"/>
        <w:jc w:val="both"/>
        <w:rPr>
          <w:rFonts w:ascii="Times New Roman" w:hAnsi="Times New Roman" w:cs="Times New Roman"/>
        </w:rPr>
      </w:pPr>
    </w:p>
    <w:p w14:paraId="1C038DC7" w14:textId="3B77A4EC" w:rsidR="00586E31" w:rsidRPr="0064135E" w:rsidRDefault="00586E31" w:rsidP="00586E31">
      <w:pPr>
        <w:pStyle w:val="Sinespaciado"/>
        <w:jc w:val="both"/>
        <w:rPr>
          <w:rFonts w:ascii="Times New Roman" w:hAnsi="Times New Roman" w:cs="Times New Roman"/>
        </w:rPr>
      </w:pPr>
      <w:r w:rsidRPr="0064135E">
        <w:rPr>
          <w:rFonts w:ascii="Times New Roman" w:hAnsi="Times New Roman" w:cs="Times New Roman"/>
        </w:rPr>
        <w:t>En el Ministerio de Trabajo, es importante comentar que se amplió el techo presupuestario, para fortalecer el programa de Aporte Económico al Adulto Mayor. Este fue aprobado por medio del Decreto número 10-2023 “Ampliación del Programa de Aporte Económico al Adulto Mayor” viabilizando el traslado de recursos financieros no utilizados de la atención de la pandemia COVID-19, para el fortalecimiento de dicho programa.</w:t>
      </w:r>
      <w:r w:rsidR="00E2106D" w:rsidRPr="0064135E">
        <w:rPr>
          <w:rFonts w:ascii="Times New Roman" w:hAnsi="Times New Roman" w:cs="Times New Roman"/>
        </w:rPr>
        <w:t xml:space="preserve"> </w:t>
      </w:r>
      <w:r w:rsidRPr="0064135E">
        <w:rPr>
          <w:rFonts w:ascii="Times New Roman" w:hAnsi="Times New Roman" w:cs="Times New Roman"/>
        </w:rPr>
        <w:t>Adicionalmente, establecería la adhesión de 65 mil adultos mayores para alcanzar hasta 210 mil beneficiarios en 2023, brindando un apoyo económico, el cual consiste en Q500 mensuales para cada beneficiario. De esa cuenta, se observa una baja ejecución en el Ministerio de Trabajo, la cual podría dinamizarse en los próximos meses.</w:t>
      </w:r>
    </w:p>
    <w:p w14:paraId="224AD9F1" w14:textId="77777777" w:rsidR="00730F7D" w:rsidRPr="0064135E" w:rsidRDefault="00730F7D" w:rsidP="00586E31">
      <w:pPr>
        <w:pStyle w:val="Sinespaciado"/>
        <w:jc w:val="both"/>
        <w:rPr>
          <w:rFonts w:ascii="Times New Roman" w:hAnsi="Times New Roman" w:cs="Times New Roman"/>
        </w:rPr>
      </w:pPr>
    </w:p>
    <w:p w14:paraId="63F74DC4" w14:textId="77777777" w:rsidR="00380981" w:rsidRPr="0064135E" w:rsidRDefault="00C84436" w:rsidP="00C17472">
      <w:pPr>
        <w:pStyle w:val="Prrafodelista"/>
        <w:numPr>
          <w:ilvl w:val="0"/>
          <w:numId w:val="1"/>
        </w:numPr>
        <w:ind w:left="426" w:hanging="426"/>
        <w:outlineLvl w:val="0"/>
        <w:rPr>
          <w:rFonts w:cs="Times New Roman"/>
          <w:b/>
          <w:sz w:val="24"/>
          <w:lang w:val="es-MX"/>
        </w:rPr>
      </w:pPr>
      <w:bookmarkStart w:id="1368" w:name="_Toc152139338"/>
      <w:r w:rsidRPr="0064135E">
        <w:rPr>
          <w:rFonts w:cs="Times New Roman"/>
          <w:b/>
          <w:sz w:val="24"/>
          <w:lang w:val="es-MX"/>
        </w:rPr>
        <w:t>Resultado Fiscal</w:t>
      </w:r>
      <w:bookmarkEnd w:id="1368"/>
      <w:r w:rsidRPr="0064135E">
        <w:rPr>
          <w:rFonts w:cs="Times New Roman"/>
          <w:b/>
          <w:sz w:val="24"/>
          <w:lang w:val="es-MX"/>
        </w:rPr>
        <w:t xml:space="preserve"> </w:t>
      </w:r>
    </w:p>
    <w:p w14:paraId="216F3BF0" w14:textId="77777777" w:rsidR="00C84436" w:rsidRPr="0064135E" w:rsidRDefault="005F5E9E" w:rsidP="00D319A6">
      <w:pPr>
        <w:rPr>
          <w:rFonts w:eastAsiaTheme="majorEastAsia" w:cs="Times New Roman"/>
          <w:b/>
          <w:bCs/>
          <w:sz w:val="24"/>
          <w:szCs w:val="26"/>
        </w:rPr>
      </w:pPr>
      <w:bookmarkStart w:id="1369" w:name="_Toc42023982"/>
      <w:bookmarkStart w:id="1370" w:name="_Toc42024033"/>
      <w:bookmarkEnd w:id="1369"/>
      <w:bookmarkEnd w:id="1370"/>
      <w:r w:rsidRPr="0064135E">
        <w:rPr>
          <w:rFonts w:eastAsiaTheme="majorEastAsia"/>
          <w:noProof/>
          <w:lang w:eastAsia="es-GT"/>
        </w:rPr>
        <w:drawing>
          <wp:inline distT="0" distB="0" distL="0" distR="0" wp14:anchorId="53C2D341" wp14:editId="1EF724EF">
            <wp:extent cx="5836920" cy="1854200"/>
            <wp:effectExtent l="76200" t="57150" r="87630" b="1079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bookmarkStart w:id="1371" w:name="_Toc31624513"/>
      <w:bookmarkStart w:id="1372" w:name="_Toc31625365"/>
      <w:bookmarkStart w:id="1373" w:name="_Toc31626820"/>
      <w:bookmarkStart w:id="1374" w:name="_Toc31811271"/>
      <w:bookmarkStart w:id="1375" w:name="_Toc31811725"/>
      <w:bookmarkStart w:id="1376" w:name="_Toc31971888"/>
      <w:bookmarkStart w:id="1377" w:name="_Toc32230910"/>
      <w:bookmarkStart w:id="1378" w:name="_Toc33109798"/>
      <w:bookmarkStart w:id="1379" w:name="_Toc33109840"/>
      <w:bookmarkStart w:id="1380" w:name="_Toc33180561"/>
      <w:bookmarkStart w:id="1381" w:name="_Toc33180655"/>
      <w:bookmarkStart w:id="1382" w:name="_Toc33193552"/>
      <w:bookmarkStart w:id="1383" w:name="_Toc33193591"/>
      <w:bookmarkStart w:id="1384" w:name="_Toc33196788"/>
      <w:bookmarkStart w:id="1385" w:name="_Toc40691764"/>
      <w:bookmarkStart w:id="1386" w:name="_Toc40959164"/>
      <w:bookmarkStart w:id="1387" w:name="_Toc40975998"/>
      <w:bookmarkStart w:id="1388" w:name="_Toc40976067"/>
      <w:bookmarkStart w:id="1389" w:name="_Toc40993323"/>
      <w:bookmarkStart w:id="1390" w:name="_Toc40993705"/>
      <w:bookmarkStart w:id="1391" w:name="_Toc41037581"/>
      <w:bookmarkStart w:id="1392" w:name="_Toc41254141"/>
      <w:bookmarkStart w:id="1393" w:name="_Toc41254173"/>
      <w:bookmarkStart w:id="1394" w:name="_Toc41254193"/>
      <w:bookmarkStart w:id="1395" w:name="_Toc42023983"/>
      <w:bookmarkStart w:id="1396" w:name="_Toc42024034"/>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435B279A" w14:textId="77777777" w:rsidR="00182B79" w:rsidRPr="0064135E" w:rsidRDefault="00182B79" w:rsidP="00182B79">
      <w:pPr>
        <w:pStyle w:val="Prrafodelista"/>
        <w:keepNext/>
        <w:keepLines/>
        <w:numPr>
          <w:ilvl w:val="0"/>
          <w:numId w:val="43"/>
        </w:numPr>
        <w:spacing w:after="120"/>
        <w:contextualSpacing w:val="0"/>
        <w:outlineLvl w:val="1"/>
        <w:rPr>
          <w:rFonts w:eastAsiaTheme="majorEastAsia" w:cs="Times New Roman"/>
          <w:b/>
          <w:bCs/>
          <w:vanish/>
          <w:sz w:val="24"/>
          <w:szCs w:val="26"/>
          <w:lang w:eastAsia="es-ES"/>
        </w:rPr>
      </w:pPr>
      <w:bookmarkStart w:id="1397" w:name="_Toc42069123"/>
      <w:bookmarkStart w:id="1398" w:name="_Toc49422069"/>
      <w:bookmarkStart w:id="1399" w:name="_Toc49422095"/>
      <w:bookmarkStart w:id="1400" w:name="_Toc49430674"/>
      <w:bookmarkStart w:id="1401" w:name="_Toc49430700"/>
      <w:bookmarkStart w:id="1402" w:name="_Toc49750477"/>
      <w:bookmarkStart w:id="1403" w:name="_Toc49750727"/>
      <w:bookmarkStart w:id="1404" w:name="_Toc49750755"/>
      <w:bookmarkStart w:id="1405" w:name="_Toc55284841"/>
      <w:bookmarkStart w:id="1406" w:name="_Toc55298859"/>
      <w:bookmarkStart w:id="1407" w:name="_Toc55373842"/>
      <w:bookmarkStart w:id="1408" w:name="_Toc55374018"/>
      <w:bookmarkStart w:id="1409" w:name="_Toc55375155"/>
      <w:bookmarkStart w:id="1410" w:name="_Toc55396563"/>
      <w:bookmarkStart w:id="1411" w:name="_Toc65230560"/>
      <w:bookmarkStart w:id="1412" w:name="_Toc65230798"/>
      <w:bookmarkStart w:id="1413" w:name="_Toc65232082"/>
      <w:bookmarkStart w:id="1414" w:name="_Toc65232327"/>
      <w:bookmarkStart w:id="1415" w:name="_Toc66716186"/>
      <w:bookmarkStart w:id="1416" w:name="_Toc71097230"/>
      <w:bookmarkStart w:id="1417" w:name="_Toc71097261"/>
      <w:bookmarkStart w:id="1418" w:name="_Toc71097336"/>
      <w:bookmarkStart w:id="1419" w:name="_Toc71108076"/>
      <w:bookmarkStart w:id="1420" w:name="_Toc79055270"/>
      <w:bookmarkStart w:id="1421" w:name="_Toc79055301"/>
      <w:bookmarkStart w:id="1422" w:name="_Toc79060192"/>
      <w:bookmarkStart w:id="1423" w:name="_Toc79060479"/>
      <w:bookmarkStart w:id="1424" w:name="_Toc81307836"/>
      <w:bookmarkStart w:id="1425" w:name="_Toc83376497"/>
      <w:bookmarkStart w:id="1426" w:name="_Toc86386736"/>
      <w:bookmarkStart w:id="1427" w:name="_Toc86405422"/>
      <w:bookmarkStart w:id="1428" w:name="_Toc98162452"/>
      <w:bookmarkStart w:id="1429" w:name="_Toc98162484"/>
      <w:bookmarkStart w:id="1430" w:name="_Toc98235010"/>
      <w:bookmarkStart w:id="1431" w:name="_Toc98235205"/>
      <w:bookmarkStart w:id="1432" w:name="_Toc98235290"/>
      <w:bookmarkStart w:id="1433" w:name="_Toc98757160"/>
      <w:bookmarkStart w:id="1434" w:name="_Toc101874715"/>
      <w:bookmarkStart w:id="1435" w:name="_Toc101954171"/>
      <w:bookmarkStart w:id="1436" w:name="_Toc101971988"/>
      <w:bookmarkStart w:id="1437" w:name="_Toc101974080"/>
      <w:bookmarkStart w:id="1438" w:name="_Toc102039765"/>
      <w:bookmarkStart w:id="1439" w:name="_Toc102039803"/>
      <w:bookmarkStart w:id="1440" w:name="_Toc102039843"/>
      <w:bookmarkStart w:id="1441" w:name="_Toc102039874"/>
      <w:bookmarkStart w:id="1442" w:name="_Toc102040932"/>
      <w:bookmarkStart w:id="1443" w:name="_Toc102477780"/>
      <w:bookmarkStart w:id="1444" w:name="_Toc102477811"/>
      <w:bookmarkStart w:id="1445" w:name="_Toc109824841"/>
      <w:bookmarkStart w:id="1446" w:name="_Toc109828797"/>
      <w:bookmarkStart w:id="1447" w:name="_Toc109828860"/>
      <w:bookmarkStart w:id="1448" w:name="_Toc109829036"/>
      <w:bookmarkStart w:id="1449" w:name="_Toc109829067"/>
      <w:bookmarkStart w:id="1450" w:name="_Toc109833911"/>
      <w:bookmarkStart w:id="1451" w:name="_Toc110237454"/>
      <w:bookmarkStart w:id="1452" w:name="_Toc117775331"/>
      <w:bookmarkStart w:id="1453" w:name="_Toc117781300"/>
      <w:bookmarkStart w:id="1454" w:name="_Toc125620828"/>
      <w:bookmarkStart w:id="1455" w:name="_Toc125620859"/>
      <w:bookmarkStart w:id="1456" w:name="_Toc125620890"/>
      <w:bookmarkStart w:id="1457" w:name="_Toc125620926"/>
      <w:bookmarkStart w:id="1458" w:name="_Toc125620957"/>
      <w:bookmarkStart w:id="1459" w:name="_Toc125620991"/>
      <w:bookmarkStart w:id="1460" w:name="_Toc125621044"/>
      <w:bookmarkStart w:id="1461" w:name="_Toc125621098"/>
      <w:bookmarkStart w:id="1462" w:name="_Toc125623576"/>
      <w:bookmarkStart w:id="1463" w:name="_Toc125623608"/>
      <w:bookmarkStart w:id="1464" w:name="_Toc125623640"/>
      <w:bookmarkStart w:id="1465" w:name="_Toc125970386"/>
      <w:bookmarkStart w:id="1466" w:name="_Toc125970418"/>
      <w:bookmarkStart w:id="1467" w:name="_Toc127365869"/>
      <w:bookmarkStart w:id="1468" w:name="_Toc127434620"/>
      <w:bookmarkStart w:id="1469" w:name="_Toc127436988"/>
      <w:bookmarkStart w:id="1470" w:name="_Toc127437349"/>
      <w:bookmarkStart w:id="1471" w:name="_Toc127437704"/>
      <w:bookmarkStart w:id="1472" w:name="_Toc133492798"/>
      <w:bookmarkStart w:id="1473" w:name="_Toc133492995"/>
      <w:bookmarkStart w:id="1474" w:name="_Toc133493217"/>
      <w:bookmarkStart w:id="1475" w:name="_Toc133497851"/>
      <w:bookmarkStart w:id="1476" w:name="_Toc133505571"/>
      <w:bookmarkStart w:id="1477" w:name="_Toc133576149"/>
      <w:bookmarkStart w:id="1478" w:name="_Toc133576221"/>
      <w:bookmarkStart w:id="1479" w:name="_Toc133576254"/>
      <w:bookmarkStart w:id="1480" w:name="_Toc133576286"/>
      <w:bookmarkStart w:id="1481" w:name="_Toc133576318"/>
      <w:bookmarkStart w:id="1482" w:name="_Toc133576350"/>
      <w:bookmarkStart w:id="1483" w:name="_Toc133576403"/>
      <w:bookmarkStart w:id="1484" w:name="_Toc133576437"/>
      <w:bookmarkStart w:id="1485" w:name="_Toc133576470"/>
      <w:bookmarkStart w:id="1486" w:name="_Toc133576503"/>
      <w:bookmarkStart w:id="1487" w:name="_Toc141108762"/>
      <w:bookmarkStart w:id="1488" w:name="_Toc141173003"/>
      <w:bookmarkStart w:id="1489" w:name="_Toc141277700"/>
      <w:bookmarkStart w:id="1490" w:name="_Toc141277732"/>
      <w:bookmarkStart w:id="1491" w:name="_Toc141430946"/>
      <w:bookmarkStart w:id="1492" w:name="_Toc152073608"/>
      <w:bookmarkStart w:id="1493" w:name="_Toc152073642"/>
      <w:bookmarkStart w:id="1494" w:name="_Toc152073675"/>
      <w:bookmarkStart w:id="1495" w:name="_Toc152073726"/>
      <w:bookmarkStart w:id="1496" w:name="_Toc152073759"/>
      <w:bookmarkStart w:id="1497" w:name="_Toc152073791"/>
      <w:bookmarkStart w:id="1498" w:name="_Toc152073823"/>
      <w:bookmarkStart w:id="1499" w:name="_Toc152073920"/>
      <w:bookmarkStart w:id="1500" w:name="_Toc152073971"/>
      <w:bookmarkStart w:id="1501" w:name="_Toc152074014"/>
      <w:bookmarkStart w:id="1502" w:name="_Toc152074103"/>
      <w:bookmarkStart w:id="1503" w:name="_Toc152074294"/>
      <w:bookmarkStart w:id="1504" w:name="_Toc152074325"/>
      <w:bookmarkStart w:id="1505" w:name="_Toc152087720"/>
      <w:bookmarkStart w:id="1506" w:name="_Toc152139339"/>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1B0B0861" w14:textId="7405193D" w:rsidR="00364844" w:rsidRPr="0064135E" w:rsidRDefault="00BD6585"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1507" w:name="_Toc152139340"/>
      <w:r w:rsidRPr="0064135E">
        <w:rPr>
          <w:rFonts w:ascii="Times New Roman" w:hAnsi="Times New Roman" w:cs="Times New Roman"/>
          <w:color w:val="auto"/>
          <w:sz w:val="24"/>
        </w:rPr>
        <w:t>R</w:t>
      </w:r>
      <w:r w:rsidR="00540B30" w:rsidRPr="0064135E">
        <w:rPr>
          <w:rFonts w:ascii="Times New Roman" w:hAnsi="Times New Roman" w:cs="Times New Roman"/>
          <w:color w:val="auto"/>
          <w:sz w:val="24"/>
        </w:rPr>
        <w:t xml:space="preserve">esultado </w:t>
      </w:r>
      <w:r w:rsidR="003C3E6F" w:rsidRPr="0064135E">
        <w:rPr>
          <w:rFonts w:ascii="Times New Roman" w:hAnsi="Times New Roman" w:cs="Times New Roman"/>
          <w:color w:val="auto"/>
          <w:sz w:val="24"/>
        </w:rPr>
        <w:t>O</w:t>
      </w:r>
      <w:r w:rsidR="00540B30" w:rsidRPr="0064135E">
        <w:rPr>
          <w:rFonts w:ascii="Times New Roman" w:hAnsi="Times New Roman" w:cs="Times New Roman"/>
          <w:color w:val="auto"/>
          <w:sz w:val="24"/>
        </w:rPr>
        <w:t>perativo</w:t>
      </w:r>
      <w:bookmarkEnd w:id="1507"/>
      <w:r w:rsidR="00EE52DF" w:rsidRPr="0064135E">
        <w:rPr>
          <w:rFonts w:ascii="Times New Roman" w:hAnsi="Times New Roman" w:cs="Times New Roman"/>
          <w:color w:val="auto"/>
          <w:sz w:val="24"/>
        </w:rPr>
        <w:t xml:space="preserve"> </w:t>
      </w:r>
      <w:bookmarkEnd w:id="503"/>
    </w:p>
    <w:p w14:paraId="7CBBEA87" w14:textId="0E18CD19" w:rsidR="00C513A1" w:rsidRPr="0064135E" w:rsidRDefault="00C513A1" w:rsidP="003B7A54">
      <w:pPr>
        <w:pStyle w:val="Sinespaciado"/>
        <w:jc w:val="both"/>
        <w:rPr>
          <w:rFonts w:ascii="Times New Roman" w:hAnsi="Times New Roman" w:cs="Times New Roman"/>
        </w:rPr>
      </w:pPr>
      <w:r w:rsidRPr="0064135E">
        <w:rPr>
          <w:rFonts w:ascii="Times New Roman" w:hAnsi="Times New Roman" w:cs="Times New Roman"/>
        </w:rPr>
        <w:t xml:space="preserve">El resultado operativo </w:t>
      </w:r>
      <w:r w:rsidR="000E38C5">
        <w:rPr>
          <w:rFonts w:ascii="Times New Roman" w:hAnsi="Times New Roman" w:cs="Times New Roman"/>
        </w:rPr>
        <w:t xml:space="preserve">al tercer </w:t>
      </w:r>
      <w:r w:rsidR="00DD5D3E">
        <w:rPr>
          <w:rFonts w:ascii="Times New Roman" w:hAnsi="Times New Roman" w:cs="Times New Roman"/>
        </w:rPr>
        <w:t xml:space="preserve">trimestre </w:t>
      </w:r>
      <w:r w:rsidR="000E38C5">
        <w:rPr>
          <w:rFonts w:ascii="Times New Roman" w:hAnsi="Times New Roman" w:cs="Times New Roman"/>
        </w:rPr>
        <w:t xml:space="preserve">es </w:t>
      </w:r>
      <w:r w:rsidRPr="0064135E">
        <w:rPr>
          <w:rFonts w:ascii="Times New Roman" w:hAnsi="Times New Roman" w:cs="Times New Roman"/>
        </w:rPr>
        <w:t>negativo por Q</w:t>
      </w:r>
      <w:r w:rsidR="00CF510C" w:rsidRPr="00CF510C">
        <w:rPr>
          <w:rFonts w:ascii="Times New Roman" w:hAnsi="Times New Roman" w:cs="Times New Roman"/>
        </w:rPr>
        <w:t>3,282.5</w:t>
      </w:r>
      <w:r w:rsidRPr="0064135E">
        <w:rPr>
          <w:rFonts w:ascii="Times New Roman" w:hAnsi="Times New Roman" w:cs="Times New Roman"/>
        </w:rPr>
        <w:t xml:space="preserve"> </w:t>
      </w:r>
      <w:r w:rsidR="004F4342" w:rsidRPr="0064135E">
        <w:rPr>
          <w:rFonts w:ascii="Times New Roman" w:hAnsi="Times New Roman" w:cs="Times New Roman"/>
        </w:rPr>
        <w:t>millones</w:t>
      </w:r>
      <w:r w:rsidR="00982D1B">
        <w:rPr>
          <w:rFonts w:ascii="Times New Roman" w:hAnsi="Times New Roman" w:cs="Times New Roman"/>
        </w:rPr>
        <w:t xml:space="preserve"> y </w:t>
      </w:r>
      <w:r w:rsidR="000614BB">
        <w:rPr>
          <w:rFonts w:ascii="Times New Roman" w:hAnsi="Times New Roman" w:cs="Times New Roman"/>
        </w:rPr>
        <w:t xml:space="preserve">este resultado es </w:t>
      </w:r>
      <w:r w:rsidR="00CB1FE2">
        <w:rPr>
          <w:rFonts w:ascii="Times New Roman" w:hAnsi="Times New Roman" w:cs="Times New Roman"/>
        </w:rPr>
        <w:t>un aumento</w:t>
      </w:r>
      <w:r w:rsidR="00C01B01" w:rsidRPr="0064135E">
        <w:rPr>
          <w:rFonts w:ascii="Times New Roman" w:hAnsi="Times New Roman" w:cs="Times New Roman"/>
        </w:rPr>
        <w:t xml:space="preserve"> </w:t>
      </w:r>
      <w:r w:rsidR="004F4342">
        <w:rPr>
          <w:rFonts w:ascii="Times New Roman" w:hAnsi="Times New Roman" w:cs="Times New Roman"/>
        </w:rPr>
        <w:t xml:space="preserve">de </w:t>
      </w:r>
      <w:r w:rsidRPr="0064135E">
        <w:rPr>
          <w:rFonts w:ascii="Times New Roman" w:hAnsi="Times New Roman" w:cs="Times New Roman"/>
        </w:rPr>
        <w:t>Q</w:t>
      </w:r>
      <w:r w:rsidR="00E37DA1">
        <w:rPr>
          <w:rFonts w:ascii="Times New Roman" w:hAnsi="Times New Roman" w:cs="Times New Roman"/>
        </w:rPr>
        <w:t>1,378.3</w:t>
      </w:r>
      <w:r w:rsidR="004F4342">
        <w:rPr>
          <w:rFonts w:ascii="Times New Roman" w:hAnsi="Times New Roman" w:cs="Times New Roman"/>
        </w:rPr>
        <w:t xml:space="preserve"> </w:t>
      </w:r>
      <w:r w:rsidRPr="0064135E">
        <w:rPr>
          <w:rFonts w:ascii="Times New Roman" w:hAnsi="Times New Roman" w:cs="Times New Roman"/>
        </w:rPr>
        <w:t xml:space="preserve">millones en el resultado operativo </w:t>
      </w:r>
      <w:r w:rsidR="00E37DA1">
        <w:rPr>
          <w:rFonts w:ascii="Times New Roman" w:hAnsi="Times New Roman" w:cs="Times New Roman"/>
        </w:rPr>
        <w:t>respecto al</w:t>
      </w:r>
      <w:r w:rsidR="00982D1B">
        <w:rPr>
          <w:rFonts w:ascii="Times New Roman" w:hAnsi="Times New Roman" w:cs="Times New Roman"/>
        </w:rPr>
        <w:t xml:space="preserve"> mismo periodo de</w:t>
      </w:r>
      <w:r w:rsidR="00E37DA1">
        <w:rPr>
          <w:rFonts w:ascii="Times New Roman" w:hAnsi="Times New Roman" w:cs="Times New Roman"/>
        </w:rPr>
        <w:t xml:space="preserve"> 2022</w:t>
      </w:r>
      <w:r w:rsidR="00982D1B">
        <w:rPr>
          <w:rFonts w:ascii="Times New Roman" w:hAnsi="Times New Roman" w:cs="Times New Roman"/>
        </w:rPr>
        <w:t xml:space="preserve"> (Q</w:t>
      </w:r>
      <w:r w:rsidR="00333D9D" w:rsidRPr="00333D9D">
        <w:rPr>
          <w:rFonts w:ascii="Times New Roman" w:hAnsi="Times New Roman" w:cs="Times New Roman"/>
        </w:rPr>
        <w:t>1,904.2</w:t>
      </w:r>
      <w:r w:rsidR="00D32C91">
        <w:rPr>
          <w:rFonts w:ascii="Times New Roman" w:hAnsi="Times New Roman" w:cs="Times New Roman"/>
        </w:rPr>
        <w:t xml:space="preserve"> millones)</w:t>
      </w:r>
      <w:r w:rsidR="00333D9D">
        <w:rPr>
          <w:rFonts w:ascii="Times New Roman" w:hAnsi="Times New Roman" w:cs="Times New Roman"/>
        </w:rPr>
        <w:t>.</w:t>
      </w:r>
    </w:p>
    <w:p w14:paraId="5021439D" w14:textId="77777777" w:rsidR="00C513A1" w:rsidRPr="0064135E" w:rsidRDefault="00C513A1" w:rsidP="003B7A54">
      <w:pPr>
        <w:pStyle w:val="Sinespaciado"/>
        <w:jc w:val="both"/>
        <w:rPr>
          <w:rFonts w:ascii="Times New Roman" w:hAnsi="Times New Roman" w:cs="Times New Roman"/>
        </w:rPr>
      </w:pPr>
    </w:p>
    <w:p w14:paraId="0C721065" w14:textId="13A00CF9" w:rsidR="00973029" w:rsidRPr="0064135E" w:rsidRDefault="00C513A1" w:rsidP="003B7A54">
      <w:pPr>
        <w:pStyle w:val="Sinespaciado"/>
        <w:jc w:val="both"/>
        <w:rPr>
          <w:rFonts w:ascii="Times New Roman" w:hAnsi="Times New Roman" w:cs="Times New Roman"/>
        </w:rPr>
      </w:pPr>
      <w:r w:rsidRPr="0064135E">
        <w:rPr>
          <w:rFonts w:ascii="Times New Roman" w:hAnsi="Times New Roman" w:cs="Times New Roman"/>
        </w:rPr>
        <w:t>Por su parte, el resultado operativo primario</w:t>
      </w:r>
      <w:r w:rsidR="00333D9D">
        <w:rPr>
          <w:rFonts w:ascii="Times New Roman" w:hAnsi="Times New Roman" w:cs="Times New Roman"/>
        </w:rPr>
        <w:t xml:space="preserve"> (</w:t>
      </w:r>
      <w:r w:rsidRPr="0064135E">
        <w:rPr>
          <w:rFonts w:ascii="Times New Roman" w:hAnsi="Times New Roman" w:cs="Times New Roman"/>
        </w:rPr>
        <w:t xml:space="preserve">sin </w:t>
      </w:r>
      <w:r w:rsidR="00D57159" w:rsidRPr="0064135E">
        <w:rPr>
          <w:rFonts w:ascii="Times New Roman" w:hAnsi="Times New Roman" w:cs="Times New Roman"/>
        </w:rPr>
        <w:t>incluir los</w:t>
      </w:r>
      <w:r w:rsidRPr="0064135E">
        <w:rPr>
          <w:rFonts w:ascii="Times New Roman" w:hAnsi="Times New Roman" w:cs="Times New Roman"/>
        </w:rPr>
        <w:t xml:space="preserve"> gastos de intereses</w:t>
      </w:r>
      <w:r w:rsidR="00333D9D">
        <w:rPr>
          <w:rFonts w:ascii="Times New Roman" w:hAnsi="Times New Roman" w:cs="Times New Roman"/>
        </w:rPr>
        <w:t>)</w:t>
      </w:r>
      <w:r w:rsidRPr="0064135E">
        <w:rPr>
          <w:rFonts w:ascii="Times New Roman" w:hAnsi="Times New Roman" w:cs="Times New Roman"/>
        </w:rPr>
        <w:t xml:space="preserve"> </w:t>
      </w:r>
      <w:r w:rsidR="00333D9D">
        <w:rPr>
          <w:rFonts w:ascii="Times New Roman" w:hAnsi="Times New Roman" w:cs="Times New Roman"/>
        </w:rPr>
        <w:t>es positivo por</w:t>
      </w:r>
      <w:r w:rsidRPr="0064135E">
        <w:rPr>
          <w:rFonts w:ascii="Times New Roman" w:hAnsi="Times New Roman" w:cs="Times New Roman"/>
        </w:rPr>
        <w:t xml:space="preserve"> Q</w:t>
      </w:r>
      <w:r w:rsidR="00333D9D" w:rsidRPr="00333D9D">
        <w:rPr>
          <w:rFonts w:ascii="Times New Roman" w:hAnsi="Times New Roman" w:cs="Times New Roman"/>
        </w:rPr>
        <w:t>6,133.0</w:t>
      </w:r>
      <w:r w:rsidRPr="0064135E">
        <w:rPr>
          <w:rFonts w:ascii="Times New Roman" w:hAnsi="Times New Roman" w:cs="Times New Roman"/>
        </w:rPr>
        <w:t xml:space="preserve"> millones, mientras que en el año previo este registró el monto de Q</w:t>
      </w:r>
      <w:r w:rsidR="00012D4A" w:rsidRPr="00012D4A">
        <w:rPr>
          <w:rFonts w:ascii="Times New Roman" w:hAnsi="Times New Roman" w:cs="Times New Roman"/>
        </w:rPr>
        <w:t>6,545.8</w:t>
      </w:r>
      <w:r w:rsidRPr="0064135E">
        <w:rPr>
          <w:rFonts w:ascii="Times New Roman" w:hAnsi="Times New Roman" w:cs="Times New Roman"/>
        </w:rPr>
        <w:t xml:space="preserve"> millones, registrando así una disminución interanual de Q</w:t>
      </w:r>
      <w:r w:rsidR="00AC24DC" w:rsidRPr="00AC24DC">
        <w:rPr>
          <w:rFonts w:ascii="Times New Roman" w:hAnsi="Times New Roman" w:cs="Times New Roman"/>
        </w:rPr>
        <w:t>412.8</w:t>
      </w:r>
      <w:r w:rsidRPr="0064135E">
        <w:rPr>
          <w:rFonts w:ascii="Times New Roman" w:hAnsi="Times New Roman" w:cs="Times New Roman"/>
        </w:rPr>
        <w:t xml:space="preserve"> millones</w:t>
      </w:r>
      <w:r w:rsidR="00AE1D1C" w:rsidRPr="0064135E">
        <w:rPr>
          <w:rFonts w:ascii="Times New Roman" w:hAnsi="Times New Roman" w:cs="Times New Roman"/>
        </w:rPr>
        <w:t>.</w:t>
      </w:r>
    </w:p>
    <w:p w14:paraId="51450F09" w14:textId="77777777" w:rsidR="00C513A1" w:rsidRPr="0064135E" w:rsidRDefault="00C513A1" w:rsidP="00C513A1">
      <w:pPr>
        <w:pStyle w:val="Sinespaciado"/>
        <w:jc w:val="both"/>
        <w:rPr>
          <w:rFonts w:ascii="Times New Roman" w:hAnsi="Times New Roman" w:cs="Times New Roman"/>
        </w:rPr>
      </w:pPr>
    </w:p>
    <w:p w14:paraId="10242320" w14:textId="1445C747" w:rsidR="00374C59" w:rsidRPr="0064135E" w:rsidRDefault="00B4032C"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1508" w:name="_Toc152139341"/>
      <w:r w:rsidRPr="0064135E">
        <w:rPr>
          <w:rFonts w:ascii="Times New Roman" w:hAnsi="Times New Roman" w:cs="Times New Roman"/>
          <w:color w:val="auto"/>
          <w:sz w:val="24"/>
        </w:rPr>
        <w:t>Endeudamiento Neto</w:t>
      </w:r>
      <w:bookmarkEnd w:id="1508"/>
    </w:p>
    <w:p w14:paraId="653162DB" w14:textId="012CA8ED" w:rsidR="004911A4" w:rsidRDefault="003B7A54" w:rsidP="003B7A54">
      <w:pPr>
        <w:spacing w:after="200" w:line="276" w:lineRule="auto"/>
        <w:rPr>
          <w:rFonts w:eastAsiaTheme="minorHAnsi" w:cs="Times New Roman"/>
          <w:szCs w:val="22"/>
          <w:lang w:eastAsia="en-US"/>
        </w:rPr>
      </w:pPr>
      <w:r w:rsidRPr="0064135E">
        <w:rPr>
          <w:rFonts w:eastAsiaTheme="minorHAnsi" w:cs="Times New Roman"/>
          <w:szCs w:val="22"/>
          <w:lang w:eastAsia="en-US"/>
        </w:rPr>
        <w:t>En cuanto al resultado fiscal global, se observa un endeudamiento (déficit) de Q</w:t>
      </w:r>
      <w:r w:rsidR="00AC24DC" w:rsidRPr="00AC24DC">
        <w:rPr>
          <w:rFonts w:eastAsiaTheme="minorHAnsi" w:cs="Times New Roman"/>
          <w:szCs w:val="22"/>
          <w:lang w:eastAsia="en-US"/>
        </w:rPr>
        <w:t>6,869.2</w:t>
      </w:r>
      <w:r w:rsidRPr="0064135E">
        <w:rPr>
          <w:rFonts w:eastAsiaTheme="minorHAnsi" w:cs="Times New Roman"/>
          <w:szCs w:val="22"/>
          <w:lang w:eastAsia="en-US"/>
        </w:rPr>
        <w:t xml:space="preserve"> millones al </w:t>
      </w:r>
      <w:r w:rsidR="000F580D">
        <w:rPr>
          <w:rFonts w:eastAsiaTheme="minorHAnsi" w:cs="Times New Roman"/>
          <w:szCs w:val="22"/>
          <w:lang w:eastAsia="en-US"/>
        </w:rPr>
        <w:t>tercer</w:t>
      </w:r>
      <w:r w:rsidRPr="0064135E">
        <w:rPr>
          <w:rFonts w:eastAsiaTheme="minorHAnsi" w:cs="Times New Roman"/>
          <w:szCs w:val="22"/>
          <w:lang w:eastAsia="en-US"/>
        </w:rPr>
        <w:t xml:space="preserve"> trimestre, en tanto </w:t>
      </w:r>
      <w:r w:rsidR="000F580D">
        <w:rPr>
          <w:rFonts w:eastAsiaTheme="minorHAnsi" w:cs="Times New Roman"/>
          <w:szCs w:val="22"/>
          <w:lang w:eastAsia="en-US"/>
        </w:rPr>
        <w:t xml:space="preserve">que </w:t>
      </w:r>
      <w:r w:rsidRPr="0064135E">
        <w:rPr>
          <w:rFonts w:eastAsiaTheme="minorHAnsi" w:cs="Times New Roman"/>
          <w:szCs w:val="22"/>
          <w:lang w:eastAsia="en-US"/>
        </w:rPr>
        <w:t>en el año anterior se observó un endeudamiento por Q</w:t>
      </w:r>
      <w:r w:rsidR="000F580D" w:rsidRPr="000F580D">
        <w:rPr>
          <w:rFonts w:eastAsiaTheme="minorHAnsi" w:cs="Times New Roman"/>
          <w:szCs w:val="22"/>
          <w:lang w:eastAsia="en-US"/>
        </w:rPr>
        <w:t>4,444.5</w:t>
      </w:r>
      <w:r w:rsidRPr="0064135E">
        <w:rPr>
          <w:rFonts w:eastAsiaTheme="minorHAnsi" w:cs="Times New Roman"/>
          <w:szCs w:val="22"/>
          <w:lang w:eastAsia="en-US"/>
        </w:rPr>
        <w:t xml:space="preserve"> millones, lo cual representa un incremento del endeudamiento por Q</w:t>
      </w:r>
      <w:r w:rsidR="001F6411" w:rsidRPr="001F6411">
        <w:rPr>
          <w:rFonts w:eastAsiaTheme="minorHAnsi" w:cs="Times New Roman"/>
          <w:szCs w:val="22"/>
          <w:lang w:eastAsia="en-US"/>
        </w:rPr>
        <w:t>2,424.8</w:t>
      </w:r>
      <w:r w:rsidRPr="0064135E">
        <w:rPr>
          <w:rFonts w:eastAsiaTheme="minorHAnsi" w:cs="Times New Roman"/>
          <w:szCs w:val="22"/>
          <w:lang w:eastAsia="en-US"/>
        </w:rPr>
        <w:t xml:space="preserve"> millones, principalmente</w:t>
      </w:r>
      <w:r w:rsidR="001F6411">
        <w:rPr>
          <w:rFonts w:eastAsiaTheme="minorHAnsi" w:cs="Times New Roman"/>
          <w:szCs w:val="22"/>
          <w:lang w:eastAsia="en-US"/>
        </w:rPr>
        <w:t xml:space="preserve"> se atribuye</w:t>
      </w:r>
      <w:r w:rsidRPr="0064135E">
        <w:rPr>
          <w:rFonts w:eastAsiaTheme="minorHAnsi" w:cs="Times New Roman"/>
          <w:szCs w:val="22"/>
          <w:lang w:eastAsia="en-US"/>
        </w:rPr>
        <w:t xml:space="preserve"> al mayor crecimiento en las erogaciones</w:t>
      </w:r>
      <w:r w:rsidR="00756F34">
        <w:rPr>
          <w:rFonts w:eastAsiaTheme="minorHAnsi" w:cs="Times New Roman"/>
          <w:szCs w:val="22"/>
          <w:lang w:eastAsia="en-US"/>
        </w:rPr>
        <w:t xml:space="preserve">, el cual es </w:t>
      </w:r>
      <w:r w:rsidR="00105B90">
        <w:rPr>
          <w:rFonts w:eastAsiaTheme="minorHAnsi" w:cs="Times New Roman"/>
          <w:szCs w:val="22"/>
          <w:lang w:eastAsia="en-US"/>
        </w:rPr>
        <w:t>superior</w:t>
      </w:r>
      <w:r w:rsidR="00756F34">
        <w:rPr>
          <w:rFonts w:eastAsiaTheme="minorHAnsi" w:cs="Times New Roman"/>
          <w:szCs w:val="22"/>
          <w:lang w:eastAsia="en-US"/>
        </w:rPr>
        <w:t xml:space="preserve"> </w:t>
      </w:r>
      <w:r w:rsidR="001F1791">
        <w:rPr>
          <w:rFonts w:eastAsiaTheme="minorHAnsi" w:cs="Times New Roman"/>
          <w:szCs w:val="22"/>
          <w:lang w:eastAsia="en-US"/>
        </w:rPr>
        <w:t>a</w:t>
      </w:r>
      <w:r w:rsidR="00F212EC">
        <w:rPr>
          <w:rFonts w:eastAsiaTheme="minorHAnsi" w:cs="Times New Roman"/>
          <w:szCs w:val="22"/>
          <w:lang w:eastAsia="en-US"/>
        </w:rPr>
        <w:t xml:space="preserve">l </w:t>
      </w:r>
      <w:r w:rsidR="00F212EC" w:rsidRPr="0064135E">
        <w:rPr>
          <w:rFonts w:eastAsiaTheme="minorHAnsi" w:cs="Times New Roman"/>
          <w:szCs w:val="22"/>
          <w:lang w:eastAsia="en-US"/>
        </w:rPr>
        <w:t>crecimiento</w:t>
      </w:r>
      <w:r w:rsidRPr="0064135E">
        <w:rPr>
          <w:rFonts w:eastAsiaTheme="minorHAnsi" w:cs="Times New Roman"/>
          <w:szCs w:val="22"/>
          <w:lang w:eastAsia="en-US"/>
        </w:rPr>
        <w:t xml:space="preserve"> </w:t>
      </w:r>
      <w:r w:rsidR="00756F34">
        <w:rPr>
          <w:rFonts w:eastAsiaTheme="minorHAnsi" w:cs="Times New Roman"/>
          <w:szCs w:val="22"/>
          <w:lang w:eastAsia="en-US"/>
        </w:rPr>
        <w:t xml:space="preserve">observado </w:t>
      </w:r>
      <w:r w:rsidRPr="0064135E">
        <w:rPr>
          <w:rFonts w:eastAsiaTheme="minorHAnsi" w:cs="Times New Roman"/>
          <w:szCs w:val="22"/>
          <w:lang w:eastAsia="en-US"/>
        </w:rPr>
        <w:t>en los ingresos fiscale</w:t>
      </w:r>
      <w:r w:rsidR="00B931D2" w:rsidRPr="0064135E">
        <w:rPr>
          <w:rFonts w:eastAsiaTheme="minorHAnsi" w:cs="Times New Roman"/>
          <w:szCs w:val="22"/>
          <w:lang w:eastAsia="en-US"/>
        </w:rPr>
        <w:t>s</w:t>
      </w:r>
      <w:r w:rsidRPr="0064135E">
        <w:rPr>
          <w:rFonts w:eastAsiaTheme="minorHAnsi" w:cs="Times New Roman"/>
          <w:szCs w:val="22"/>
          <w:lang w:eastAsia="en-US"/>
        </w:rPr>
        <w:t>.</w:t>
      </w:r>
    </w:p>
    <w:p w14:paraId="34CB3F45" w14:textId="77777777" w:rsidR="00CB1FE2" w:rsidRPr="00AC24DC" w:rsidRDefault="00CB1FE2" w:rsidP="003B7A54">
      <w:pPr>
        <w:spacing w:after="200" w:line="276" w:lineRule="auto"/>
        <w:rPr>
          <w:rFonts w:eastAsiaTheme="minorHAnsi" w:cs="Times New Roman"/>
          <w:szCs w:val="22"/>
          <w:lang w:eastAsia="en-US"/>
        </w:rPr>
      </w:pPr>
    </w:p>
    <w:p w14:paraId="020DDCB3" w14:textId="6E163663" w:rsidR="00264A75" w:rsidRPr="0064135E" w:rsidRDefault="00264A75" w:rsidP="00997543">
      <w:pPr>
        <w:jc w:val="center"/>
        <w:rPr>
          <w:rFonts w:cs="Times New Roman"/>
          <w:b/>
          <w:szCs w:val="22"/>
          <w:lang w:val="es-MX"/>
        </w:rPr>
      </w:pPr>
      <w:r w:rsidRPr="0064135E">
        <w:rPr>
          <w:rFonts w:cs="Times New Roman"/>
          <w:b/>
          <w:szCs w:val="22"/>
          <w:lang w:val="es-MX"/>
        </w:rPr>
        <w:lastRenderedPageBreak/>
        <w:t xml:space="preserve">Estado de </w:t>
      </w:r>
      <w:r w:rsidR="00697544" w:rsidRPr="0064135E">
        <w:rPr>
          <w:rFonts w:cs="Times New Roman"/>
          <w:b/>
          <w:szCs w:val="22"/>
          <w:lang w:val="es-MX"/>
        </w:rPr>
        <w:t>O</w:t>
      </w:r>
      <w:r w:rsidRPr="0064135E">
        <w:rPr>
          <w:rFonts w:cs="Times New Roman"/>
          <w:b/>
          <w:szCs w:val="22"/>
          <w:lang w:val="es-MX"/>
        </w:rPr>
        <w:t>peraciones</w:t>
      </w:r>
      <w:r w:rsidR="007105EE" w:rsidRPr="0064135E">
        <w:rPr>
          <w:rFonts w:cs="Times New Roman"/>
          <w:b/>
          <w:szCs w:val="22"/>
          <w:lang w:val="es-MX"/>
        </w:rPr>
        <w:t xml:space="preserve"> </w:t>
      </w:r>
      <w:r w:rsidRPr="0064135E">
        <w:rPr>
          <w:rFonts w:cs="Times New Roman"/>
          <w:b/>
          <w:szCs w:val="22"/>
          <w:lang w:val="es-MX"/>
        </w:rPr>
        <w:t>del Gobierno Central Presupuestario</w:t>
      </w:r>
    </w:p>
    <w:p w14:paraId="68D87BB8" w14:textId="331DA46F" w:rsidR="007105EE" w:rsidRPr="0064135E" w:rsidRDefault="007105EE" w:rsidP="00997543">
      <w:pPr>
        <w:jc w:val="center"/>
        <w:rPr>
          <w:rFonts w:cs="Times New Roman"/>
          <w:b/>
          <w:szCs w:val="22"/>
          <w:lang w:val="es-MX"/>
        </w:rPr>
      </w:pPr>
      <w:r w:rsidRPr="0064135E">
        <w:rPr>
          <w:rFonts w:cs="Times New Roman"/>
          <w:b/>
          <w:szCs w:val="22"/>
          <w:lang w:val="es-MX"/>
        </w:rPr>
        <w:t xml:space="preserve">Cifras acumuladas </w:t>
      </w:r>
      <w:r w:rsidR="0065570F" w:rsidRPr="0064135E">
        <w:rPr>
          <w:rFonts w:cs="Times New Roman"/>
          <w:b/>
          <w:szCs w:val="22"/>
          <w:lang w:val="es-MX"/>
        </w:rPr>
        <w:t xml:space="preserve">a </w:t>
      </w:r>
      <w:r w:rsidR="0052502E" w:rsidRPr="0064135E">
        <w:rPr>
          <w:rFonts w:cs="Times New Roman"/>
          <w:b/>
          <w:szCs w:val="22"/>
          <w:lang w:val="es-MX"/>
        </w:rPr>
        <w:t>septiembre</w:t>
      </w:r>
      <w:r w:rsidR="00417CFB" w:rsidRPr="0064135E">
        <w:rPr>
          <w:rFonts w:cs="Times New Roman"/>
          <w:b/>
          <w:szCs w:val="22"/>
          <w:lang w:val="es-MX"/>
        </w:rPr>
        <w:t xml:space="preserve"> </w:t>
      </w:r>
      <w:r w:rsidR="0040363B" w:rsidRPr="0064135E">
        <w:rPr>
          <w:rFonts w:cs="Times New Roman"/>
          <w:b/>
          <w:szCs w:val="22"/>
          <w:lang w:val="es-MX"/>
        </w:rPr>
        <w:t>de cada año</w:t>
      </w:r>
      <w:r w:rsidRPr="0064135E">
        <w:rPr>
          <w:rFonts w:cs="Times New Roman"/>
          <w:b/>
          <w:szCs w:val="22"/>
          <w:lang w:val="es-MX"/>
        </w:rPr>
        <w:t>*</w:t>
      </w:r>
    </w:p>
    <w:p w14:paraId="3793E3FA" w14:textId="402859EF" w:rsidR="00A366A0" w:rsidRPr="0064135E" w:rsidRDefault="00697544" w:rsidP="00944641">
      <w:pPr>
        <w:spacing w:after="240"/>
        <w:jc w:val="center"/>
        <w:rPr>
          <w:rFonts w:cs="Times New Roman"/>
          <w:sz w:val="16"/>
          <w:szCs w:val="22"/>
          <w:lang w:val="es-MX"/>
        </w:rPr>
      </w:pPr>
      <w:r w:rsidRPr="0064135E">
        <w:rPr>
          <w:rFonts w:cs="Times New Roman"/>
          <w:bCs/>
          <w:szCs w:val="22"/>
          <w:lang w:val="es-MX"/>
        </w:rPr>
        <w:t>En millones de Quetzales</w:t>
      </w:r>
      <w:r w:rsidR="00414C97" w:rsidRPr="0064135E">
        <w:rPr>
          <w:rFonts w:cs="Times New Roman"/>
          <w:bCs/>
          <w:szCs w:val="22"/>
          <w:lang w:val="es-MX"/>
        </w:rPr>
        <w:t xml:space="preserve"> y</w:t>
      </w:r>
      <w:r w:rsidR="0090006B" w:rsidRPr="0064135E">
        <w:rPr>
          <w:rFonts w:cs="Times New Roman"/>
          <w:bCs/>
          <w:szCs w:val="22"/>
          <w:lang w:val="es-MX"/>
        </w:rPr>
        <w:t xml:space="preserve"> </w:t>
      </w:r>
      <w:r w:rsidR="00414C97" w:rsidRPr="0064135E">
        <w:rPr>
          <w:rFonts w:cs="Times New Roman"/>
          <w:bCs/>
          <w:szCs w:val="22"/>
          <w:lang w:val="es-MX"/>
        </w:rPr>
        <w:t>Porcentajes</w:t>
      </w:r>
    </w:p>
    <w:tbl>
      <w:tblPr>
        <w:tblW w:w="6653" w:type="dxa"/>
        <w:jc w:val="center"/>
        <w:tblLayout w:type="fixed"/>
        <w:tblCellMar>
          <w:left w:w="70" w:type="dxa"/>
          <w:right w:w="70" w:type="dxa"/>
        </w:tblCellMar>
        <w:tblLook w:val="04A0" w:firstRow="1" w:lastRow="0" w:firstColumn="1" w:lastColumn="0" w:noHBand="0" w:noVBand="1"/>
      </w:tblPr>
      <w:tblGrid>
        <w:gridCol w:w="3164"/>
        <w:gridCol w:w="861"/>
        <w:gridCol w:w="861"/>
        <w:gridCol w:w="861"/>
        <w:gridCol w:w="906"/>
      </w:tblGrid>
      <w:tr w:rsidR="00673937" w:rsidRPr="0064135E" w14:paraId="4E22BD21" w14:textId="5D5A4D27" w:rsidTr="007D65EB">
        <w:trPr>
          <w:trHeight w:val="264"/>
          <w:jc w:val="center"/>
        </w:trPr>
        <w:tc>
          <w:tcPr>
            <w:tcW w:w="3164"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58300B4C" w14:textId="77777777" w:rsidR="00673937" w:rsidRPr="0064135E" w:rsidRDefault="00673937" w:rsidP="004D429B">
            <w:pPr>
              <w:jc w:val="center"/>
              <w:rPr>
                <w:rFonts w:eastAsia="Times New Roman" w:cs="Times New Roman"/>
                <w:b/>
                <w:bCs/>
                <w:color w:val="FFFFFF"/>
                <w:sz w:val="18"/>
                <w:szCs w:val="18"/>
                <w:lang w:eastAsia="es-GT"/>
              </w:rPr>
            </w:pPr>
            <w:r w:rsidRPr="0064135E">
              <w:rPr>
                <w:rFonts w:eastAsia="Times New Roman" w:cs="Times New Roman"/>
                <w:b/>
                <w:bCs/>
                <w:color w:val="FFFFFF"/>
                <w:sz w:val="18"/>
                <w:szCs w:val="18"/>
                <w:lang w:eastAsia="es-GT"/>
              </w:rPr>
              <w:t>Descripción</w:t>
            </w:r>
          </w:p>
        </w:tc>
        <w:tc>
          <w:tcPr>
            <w:tcW w:w="1722" w:type="dxa"/>
            <w:gridSpan w:val="2"/>
            <w:tcBorders>
              <w:top w:val="single" w:sz="8" w:space="0" w:color="auto"/>
              <w:left w:val="single" w:sz="8" w:space="0" w:color="auto"/>
              <w:bottom w:val="single" w:sz="8" w:space="0" w:color="000000"/>
              <w:right w:val="single" w:sz="8" w:space="0" w:color="auto"/>
            </w:tcBorders>
            <w:shd w:val="clear" w:color="000000" w:fill="44546A"/>
            <w:vAlign w:val="center"/>
            <w:hideMark/>
          </w:tcPr>
          <w:p w14:paraId="7A1933AF" w14:textId="1047AA65" w:rsidR="00673937" w:rsidRPr="0064135E" w:rsidRDefault="00673937" w:rsidP="004D429B">
            <w:pPr>
              <w:jc w:val="center"/>
              <w:rPr>
                <w:rFonts w:eastAsia="Times New Roman" w:cs="Times New Roman"/>
                <w:b/>
                <w:bCs/>
                <w:color w:val="FFFFFF"/>
                <w:sz w:val="18"/>
                <w:szCs w:val="18"/>
                <w:lang w:eastAsia="es-GT"/>
              </w:rPr>
            </w:pPr>
            <w:r w:rsidRPr="0064135E">
              <w:rPr>
                <w:rFonts w:eastAsia="Times New Roman" w:cs="Times New Roman"/>
                <w:b/>
                <w:bCs/>
                <w:color w:val="FFFFFF"/>
                <w:sz w:val="18"/>
                <w:szCs w:val="18"/>
                <w:lang w:eastAsia="es-GT"/>
              </w:rPr>
              <w:t>En millones de Q</w:t>
            </w:r>
          </w:p>
        </w:tc>
        <w:tc>
          <w:tcPr>
            <w:tcW w:w="1767" w:type="dxa"/>
            <w:gridSpan w:val="2"/>
            <w:tcBorders>
              <w:top w:val="single" w:sz="8" w:space="0" w:color="auto"/>
              <w:left w:val="nil"/>
              <w:bottom w:val="single" w:sz="8" w:space="0" w:color="auto"/>
              <w:right w:val="single" w:sz="8" w:space="0" w:color="000000"/>
            </w:tcBorders>
            <w:shd w:val="clear" w:color="000000" w:fill="44546A"/>
            <w:vAlign w:val="center"/>
            <w:hideMark/>
          </w:tcPr>
          <w:p w14:paraId="33E0B23E" w14:textId="77777777" w:rsidR="00673937" w:rsidRPr="0064135E" w:rsidRDefault="00673937" w:rsidP="004D429B">
            <w:pPr>
              <w:jc w:val="center"/>
              <w:rPr>
                <w:rFonts w:eastAsia="Times New Roman" w:cs="Times New Roman"/>
                <w:b/>
                <w:bCs/>
                <w:color w:val="FFFFFF"/>
                <w:sz w:val="18"/>
                <w:szCs w:val="18"/>
                <w:lang w:eastAsia="es-GT"/>
              </w:rPr>
            </w:pPr>
            <w:r w:rsidRPr="0064135E">
              <w:rPr>
                <w:rFonts w:eastAsia="Times New Roman" w:cs="Times New Roman"/>
                <w:b/>
                <w:bCs/>
                <w:color w:val="FFFFFF"/>
                <w:sz w:val="18"/>
                <w:szCs w:val="18"/>
                <w:lang w:eastAsia="es-GT"/>
              </w:rPr>
              <w:t>Variación Interanual</w:t>
            </w:r>
          </w:p>
        </w:tc>
      </w:tr>
      <w:tr w:rsidR="00673937" w:rsidRPr="0064135E" w14:paraId="52911BCD" w14:textId="3DCB36A8" w:rsidTr="007D65EB">
        <w:trPr>
          <w:trHeight w:val="264"/>
          <w:jc w:val="center"/>
        </w:trPr>
        <w:tc>
          <w:tcPr>
            <w:tcW w:w="3164" w:type="dxa"/>
            <w:vMerge/>
            <w:tcBorders>
              <w:top w:val="single" w:sz="8" w:space="0" w:color="auto"/>
              <w:left w:val="single" w:sz="8" w:space="0" w:color="auto"/>
              <w:bottom w:val="single" w:sz="8" w:space="0" w:color="000000"/>
              <w:right w:val="nil"/>
            </w:tcBorders>
            <w:vAlign w:val="center"/>
            <w:hideMark/>
          </w:tcPr>
          <w:p w14:paraId="25BE7534" w14:textId="77777777" w:rsidR="00673937" w:rsidRPr="0064135E" w:rsidRDefault="00673937" w:rsidP="006616A5">
            <w:pPr>
              <w:jc w:val="left"/>
              <w:rPr>
                <w:rFonts w:eastAsia="Times New Roman" w:cs="Times New Roman"/>
                <w:b/>
                <w:bCs/>
                <w:color w:val="FFFFFF"/>
                <w:sz w:val="18"/>
                <w:szCs w:val="18"/>
                <w:lang w:eastAsia="es-GT"/>
              </w:rPr>
            </w:pPr>
          </w:p>
        </w:tc>
        <w:tc>
          <w:tcPr>
            <w:tcW w:w="861" w:type="dxa"/>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14:paraId="16A31A0B" w14:textId="7493F4EE" w:rsidR="00673937" w:rsidRPr="0064135E" w:rsidRDefault="00673937" w:rsidP="005747F1">
            <w:pPr>
              <w:jc w:val="center"/>
              <w:rPr>
                <w:rFonts w:eastAsia="Times New Roman" w:cs="Times New Roman"/>
                <w:b/>
                <w:bCs/>
                <w:color w:val="FFFFFF" w:themeColor="background1"/>
                <w:sz w:val="18"/>
                <w:szCs w:val="18"/>
                <w:lang w:eastAsia="es-GT"/>
              </w:rPr>
            </w:pPr>
            <w:r w:rsidRPr="0064135E">
              <w:rPr>
                <w:rFonts w:eastAsia="Times New Roman" w:cs="Times New Roman"/>
                <w:b/>
                <w:bCs/>
                <w:color w:val="FFFFFF" w:themeColor="background1"/>
                <w:sz w:val="18"/>
                <w:szCs w:val="18"/>
                <w:lang w:eastAsia="es-GT"/>
              </w:rPr>
              <w:t>202</w:t>
            </w:r>
            <w:r w:rsidR="001C236C" w:rsidRPr="0064135E">
              <w:rPr>
                <w:rFonts w:eastAsia="Times New Roman" w:cs="Times New Roman"/>
                <w:b/>
                <w:bCs/>
                <w:color w:val="FFFFFF" w:themeColor="background1"/>
                <w:sz w:val="18"/>
                <w:szCs w:val="18"/>
                <w:lang w:eastAsia="es-GT"/>
              </w:rPr>
              <w:t>2</w:t>
            </w:r>
          </w:p>
        </w:tc>
        <w:tc>
          <w:tcPr>
            <w:tcW w:w="861" w:type="dxa"/>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14:paraId="0A2ADCC9" w14:textId="00E94957" w:rsidR="00673937" w:rsidRPr="0064135E" w:rsidRDefault="00673937" w:rsidP="005747F1">
            <w:pPr>
              <w:jc w:val="center"/>
              <w:rPr>
                <w:rFonts w:eastAsia="Times New Roman" w:cs="Times New Roman"/>
                <w:b/>
                <w:bCs/>
                <w:color w:val="FFFFFF" w:themeColor="background1"/>
                <w:sz w:val="18"/>
                <w:szCs w:val="18"/>
                <w:lang w:eastAsia="es-GT"/>
              </w:rPr>
            </w:pPr>
            <w:r w:rsidRPr="0064135E">
              <w:rPr>
                <w:rFonts w:eastAsia="Times New Roman" w:cs="Times New Roman"/>
                <w:b/>
                <w:bCs/>
                <w:color w:val="FFFFFF" w:themeColor="background1"/>
                <w:sz w:val="18"/>
                <w:szCs w:val="18"/>
                <w:lang w:eastAsia="es-GT"/>
              </w:rPr>
              <w:t>202</w:t>
            </w:r>
            <w:r w:rsidR="001C236C" w:rsidRPr="0064135E">
              <w:rPr>
                <w:rFonts w:eastAsia="Times New Roman" w:cs="Times New Roman"/>
                <w:b/>
                <w:bCs/>
                <w:color w:val="FFFFFF" w:themeColor="background1"/>
                <w:sz w:val="18"/>
                <w:szCs w:val="18"/>
                <w:lang w:eastAsia="es-GT"/>
              </w:rPr>
              <w:t>3</w:t>
            </w:r>
            <w:r w:rsidRPr="0064135E">
              <w:rPr>
                <w:rFonts w:eastAsia="Times New Roman" w:cs="Times New Roman"/>
                <w:b/>
                <w:bCs/>
                <w:color w:val="FFFFFF" w:themeColor="background1"/>
                <w:sz w:val="18"/>
                <w:szCs w:val="18"/>
                <w:lang w:eastAsia="es-GT"/>
              </w:rPr>
              <w:t>*</w:t>
            </w:r>
          </w:p>
        </w:tc>
        <w:tc>
          <w:tcPr>
            <w:tcW w:w="861" w:type="dxa"/>
            <w:tcBorders>
              <w:top w:val="nil"/>
              <w:left w:val="nil"/>
              <w:bottom w:val="single" w:sz="8" w:space="0" w:color="auto"/>
              <w:right w:val="single" w:sz="8" w:space="0" w:color="auto"/>
            </w:tcBorders>
            <w:shd w:val="clear" w:color="auto" w:fill="808080" w:themeFill="background1" w:themeFillShade="80"/>
            <w:vAlign w:val="center"/>
            <w:hideMark/>
          </w:tcPr>
          <w:p w14:paraId="2964B4C2" w14:textId="77777777" w:rsidR="00673937" w:rsidRPr="0064135E" w:rsidRDefault="00673937" w:rsidP="005747F1">
            <w:pPr>
              <w:jc w:val="center"/>
              <w:rPr>
                <w:rFonts w:eastAsia="Times New Roman" w:cs="Times New Roman"/>
                <w:b/>
                <w:bCs/>
                <w:color w:val="FFFFFF"/>
                <w:sz w:val="18"/>
                <w:szCs w:val="18"/>
                <w:lang w:eastAsia="es-GT"/>
              </w:rPr>
            </w:pPr>
            <w:r w:rsidRPr="0064135E">
              <w:rPr>
                <w:rFonts w:eastAsia="Times New Roman" w:cs="Times New Roman"/>
                <w:b/>
                <w:bCs/>
                <w:color w:val="FFFFFF"/>
                <w:sz w:val="18"/>
                <w:szCs w:val="18"/>
                <w:lang w:eastAsia="es-GT"/>
              </w:rPr>
              <w:t>Absoluta</w:t>
            </w:r>
          </w:p>
        </w:tc>
        <w:tc>
          <w:tcPr>
            <w:tcW w:w="906" w:type="dxa"/>
            <w:tcBorders>
              <w:top w:val="nil"/>
              <w:left w:val="nil"/>
              <w:bottom w:val="single" w:sz="8" w:space="0" w:color="auto"/>
              <w:right w:val="single" w:sz="8" w:space="0" w:color="auto"/>
            </w:tcBorders>
            <w:shd w:val="clear" w:color="auto" w:fill="808080" w:themeFill="background1" w:themeFillShade="80"/>
            <w:vAlign w:val="center"/>
            <w:hideMark/>
          </w:tcPr>
          <w:p w14:paraId="177730A0" w14:textId="77777777" w:rsidR="00673937" w:rsidRPr="0064135E" w:rsidRDefault="00673937" w:rsidP="005747F1">
            <w:pPr>
              <w:jc w:val="center"/>
              <w:rPr>
                <w:rFonts w:eastAsia="Times New Roman" w:cs="Times New Roman"/>
                <w:b/>
                <w:bCs/>
                <w:color w:val="FFFFFF"/>
                <w:sz w:val="18"/>
                <w:szCs w:val="18"/>
                <w:lang w:eastAsia="es-GT"/>
              </w:rPr>
            </w:pPr>
            <w:r w:rsidRPr="0064135E">
              <w:rPr>
                <w:rFonts w:eastAsia="Times New Roman" w:cs="Times New Roman"/>
                <w:b/>
                <w:bCs/>
                <w:color w:val="FFFFFF"/>
                <w:sz w:val="18"/>
                <w:szCs w:val="18"/>
                <w:lang w:eastAsia="es-GT"/>
              </w:rPr>
              <w:t>Relativa</w:t>
            </w:r>
          </w:p>
        </w:tc>
      </w:tr>
      <w:tr w:rsidR="00021528" w:rsidRPr="0064135E" w14:paraId="331C0894" w14:textId="3915E4C5" w:rsidTr="007D65EB">
        <w:trPr>
          <w:trHeight w:val="252"/>
          <w:jc w:val="center"/>
        </w:trPr>
        <w:tc>
          <w:tcPr>
            <w:tcW w:w="3164" w:type="dxa"/>
            <w:tcBorders>
              <w:top w:val="nil"/>
              <w:left w:val="nil"/>
              <w:bottom w:val="nil"/>
              <w:right w:val="nil"/>
            </w:tcBorders>
            <w:shd w:val="clear" w:color="auto" w:fill="auto"/>
            <w:noWrap/>
            <w:vAlign w:val="center"/>
            <w:hideMark/>
          </w:tcPr>
          <w:p w14:paraId="23E471B9" w14:textId="77777777" w:rsidR="00021528" w:rsidRPr="0064135E" w:rsidRDefault="00021528" w:rsidP="00021528">
            <w:pPr>
              <w:rPr>
                <w:rFonts w:eastAsia="Times New Roman" w:cs="Times New Roman"/>
                <w:b/>
                <w:bCs/>
                <w:color w:val="000000"/>
                <w:sz w:val="16"/>
                <w:szCs w:val="16"/>
                <w:lang w:eastAsia="es-GT"/>
              </w:rPr>
            </w:pPr>
            <w:r w:rsidRPr="0064135E">
              <w:rPr>
                <w:rFonts w:eastAsia="Times New Roman" w:cs="Times New Roman"/>
                <w:b/>
                <w:bCs/>
                <w:color w:val="000000"/>
                <w:sz w:val="16"/>
                <w:szCs w:val="16"/>
                <w:lang w:eastAsia="es-GT"/>
              </w:rPr>
              <w:t>INGRESO</w:t>
            </w:r>
          </w:p>
        </w:tc>
        <w:tc>
          <w:tcPr>
            <w:tcW w:w="861" w:type="dxa"/>
            <w:tcBorders>
              <w:top w:val="nil"/>
              <w:left w:val="nil"/>
              <w:bottom w:val="nil"/>
              <w:right w:val="nil"/>
            </w:tcBorders>
            <w:shd w:val="clear" w:color="auto" w:fill="auto"/>
            <w:noWrap/>
            <w:vAlign w:val="center"/>
            <w:hideMark/>
          </w:tcPr>
          <w:p w14:paraId="0DEB8F6A" w14:textId="13EB8F38"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70,414.9</w:t>
            </w:r>
          </w:p>
        </w:tc>
        <w:tc>
          <w:tcPr>
            <w:tcW w:w="861" w:type="dxa"/>
            <w:tcBorders>
              <w:top w:val="nil"/>
              <w:left w:val="nil"/>
              <w:bottom w:val="nil"/>
              <w:right w:val="nil"/>
            </w:tcBorders>
            <w:shd w:val="clear" w:color="auto" w:fill="auto"/>
            <w:noWrap/>
            <w:vAlign w:val="center"/>
            <w:hideMark/>
          </w:tcPr>
          <w:p w14:paraId="20E99ABE" w14:textId="537D8CAA"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76,907.5</w:t>
            </w:r>
          </w:p>
        </w:tc>
        <w:tc>
          <w:tcPr>
            <w:tcW w:w="861" w:type="dxa"/>
            <w:tcBorders>
              <w:top w:val="nil"/>
              <w:left w:val="dotDash" w:sz="4" w:space="0" w:color="auto"/>
              <w:bottom w:val="nil"/>
              <w:right w:val="nil"/>
            </w:tcBorders>
            <w:shd w:val="clear" w:color="auto" w:fill="auto"/>
            <w:noWrap/>
            <w:vAlign w:val="center"/>
            <w:hideMark/>
          </w:tcPr>
          <w:p w14:paraId="3CE23E92" w14:textId="5A4552C5"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6,492.6</w:t>
            </w:r>
          </w:p>
        </w:tc>
        <w:tc>
          <w:tcPr>
            <w:tcW w:w="906" w:type="dxa"/>
            <w:tcBorders>
              <w:top w:val="nil"/>
              <w:left w:val="nil"/>
              <w:bottom w:val="nil"/>
              <w:right w:val="nil"/>
            </w:tcBorders>
            <w:shd w:val="clear" w:color="auto" w:fill="auto"/>
            <w:noWrap/>
            <w:vAlign w:val="center"/>
            <w:hideMark/>
          </w:tcPr>
          <w:p w14:paraId="4E872ED2" w14:textId="01F970C8"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9.2</w:t>
            </w:r>
          </w:p>
        </w:tc>
      </w:tr>
      <w:tr w:rsidR="00021528" w:rsidRPr="0064135E" w14:paraId="3458F854" w14:textId="5B23C4AF" w:rsidTr="007D65EB">
        <w:trPr>
          <w:trHeight w:val="252"/>
          <w:jc w:val="center"/>
        </w:trPr>
        <w:tc>
          <w:tcPr>
            <w:tcW w:w="3164" w:type="dxa"/>
            <w:tcBorders>
              <w:top w:val="nil"/>
              <w:left w:val="nil"/>
              <w:bottom w:val="nil"/>
              <w:right w:val="nil"/>
            </w:tcBorders>
            <w:shd w:val="clear" w:color="auto" w:fill="auto"/>
            <w:noWrap/>
            <w:vAlign w:val="center"/>
            <w:hideMark/>
          </w:tcPr>
          <w:p w14:paraId="5581EAE2"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Impuestos</w:t>
            </w:r>
          </w:p>
        </w:tc>
        <w:tc>
          <w:tcPr>
            <w:tcW w:w="861" w:type="dxa"/>
            <w:tcBorders>
              <w:top w:val="nil"/>
              <w:left w:val="nil"/>
              <w:bottom w:val="nil"/>
              <w:right w:val="nil"/>
            </w:tcBorders>
            <w:shd w:val="clear" w:color="auto" w:fill="auto"/>
            <w:noWrap/>
            <w:vAlign w:val="center"/>
            <w:hideMark/>
          </w:tcPr>
          <w:p w14:paraId="741CC720" w14:textId="13A35607"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64,388.9</w:t>
            </w:r>
          </w:p>
        </w:tc>
        <w:tc>
          <w:tcPr>
            <w:tcW w:w="861" w:type="dxa"/>
            <w:tcBorders>
              <w:top w:val="nil"/>
              <w:left w:val="nil"/>
              <w:bottom w:val="nil"/>
              <w:right w:val="nil"/>
            </w:tcBorders>
            <w:shd w:val="clear" w:color="auto" w:fill="auto"/>
            <w:noWrap/>
            <w:vAlign w:val="center"/>
            <w:hideMark/>
          </w:tcPr>
          <w:p w14:paraId="0F100D77" w14:textId="28AA1090"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69,719.9</w:t>
            </w:r>
          </w:p>
        </w:tc>
        <w:tc>
          <w:tcPr>
            <w:tcW w:w="861" w:type="dxa"/>
            <w:tcBorders>
              <w:top w:val="nil"/>
              <w:left w:val="dotDash" w:sz="4" w:space="0" w:color="auto"/>
              <w:bottom w:val="nil"/>
              <w:right w:val="nil"/>
            </w:tcBorders>
            <w:shd w:val="clear" w:color="auto" w:fill="auto"/>
            <w:noWrap/>
            <w:vAlign w:val="center"/>
            <w:hideMark/>
          </w:tcPr>
          <w:p w14:paraId="75E14500" w14:textId="7C454699"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5,331.0</w:t>
            </w:r>
          </w:p>
        </w:tc>
        <w:tc>
          <w:tcPr>
            <w:tcW w:w="906" w:type="dxa"/>
            <w:tcBorders>
              <w:top w:val="nil"/>
              <w:left w:val="nil"/>
              <w:bottom w:val="nil"/>
              <w:right w:val="nil"/>
            </w:tcBorders>
            <w:shd w:val="clear" w:color="auto" w:fill="auto"/>
            <w:noWrap/>
            <w:vAlign w:val="center"/>
            <w:hideMark/>
          </w:tcPr>
          <w:p w14:paraId="5E2108BC" w14:textId="3CDCC6C0"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8.3</w:t>
            </w:r>
          </w:p>
        </w:tc>
      </w:tr>
      <w:tr w:rsidR="00021528" w:rsidRPr="0064135E" w14:paraId="0933DA23" w14:textId="673BBB5D" w:rsidTr="007D65EB">
        <w:trPr>
          <w:trHeight w:val="252"/>
          <w:jc w:val="center"/>
        </w:trPr>
        <w:tc>
          <w:tcPr>
            <w:tcW w:w="3164" w:type="dxa"/>
            <w:tcBorders>
              <w:top w:val="nil"/>
              <w:left w:val="nil"/>
              <w:bottom w:val="nil"/>
              <w:right w:val="nil"/>
            </w:tcBorders>
            <w:shd w:val="clear" w:color="auto" w:fill="auto"/>
            <w:noWrap/>
            <w:vAlign w:val="center"/>
            <w:hideMark/>
          </w:tcPr>
          <w:p w14:paraId="543B74CC"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 xml:space="preserve">Contribuciones sociales </w:t>
            </w:r>
          </w:p>
        </w:tc>
        <w:tc>
          <w:tcPr>
            <w:tcW w:w="861" w:type="dxa"/>
            <w:tcBorders>
              <w:top w:val="nil"/>
              <w:left w:val="nil"/>
              <w:bottom w:val="nil"/>
              <w:right w:val="nil"/>
            </w:tcBorders>
            <w:shd w:val="clear" w:color="auto" w:fill="auto"/>
            <w:noWrap/>
            <w:vAlign w:val="center"/>
            <w:hideMark/>
          </w:tcPr>
          <w:p w14:paraId="07FC9E7D" w14:textId="28368D78"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3,855.8</w:t>
            </w:r>
          </w:p>
        </w:tc>
        <w:tc>
          <w:tcPr>
            <w:tcW w:w="861" w:type="dxa"/>
            <w:tcBorders>
              <w:top w:val="nil"/>
              <w:left w:val="nil"/>
              <w:bottom w:val="nil"/>
              <w:right w:val="nil"/>
            </w:tcBorders>
            <w:shd w:val="clear" w:color="auto" w:fill="auto"/>
            <w:noWrap/>
            <w:vAlign w:val="center"/>
            <w:hideMark/>
          </w:tcPr>
          <w:p w14:paraId="0158D5DD" w14:textId="12922462"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4,526.9</w:t>
            </w:r>
          </w:p>
        </w:tc>
        <w:tc>
          <w:tcPr>
            <w:tcW w:w="861" w:type="dxa"/>
            <w:tcBorders>
              <w:top w:val="nil"/>
              <w:left w:val="dotDash" w:sz="4" w:space="0" w:color="auto"/>
              <w:bottom w:val="nil"/>
              <w:right w:val="nil"/>
            </w:tcBorders>
            <w:shd w:val="clear" w:color="auto" w:fill="auto"/>
            <w:noWrap/>
            <w:vAlign w:val="center"/>
            <w:hideMark/>
          </w:tcPr>
          <w:p w14:paraId="48113875" w14:textId="59775267"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671.1</w:t>
            </w:r>
          </w:p>
        </w:tc>
        <w:tc>
          <w:tcPr>
            <w:tcW w:w="906" w:type="dxa"/>
            <w:tcBorders>
              <w:top w:val="nil"/>
              <w:left w:val="nil"/>
              <w:bottom w:val="nil"/>
              <w:right w:val="nil"/>
            </w:tcBorders>
            <w:shd w:val="clear" w:color="auto" w:fill="auto"/>
            <w:noWrap/>
            <w:vAlign w:val="center"/>
            <w:hideMark/>
          </w:tcPr>
          <w:p w14:paraId="57AFAAAF" w14:textId="2D7D84DB"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17.4</w:t>
            </w:r>
          </w:p>
        </w:tc>
      </w:tr>
      <w:tr w:rsidR="00021528" w:rsidRPr="0064135E" w14:paraId="51764967" w14:textId="622D0A0B" w:rsidTr="007D65EB">
        <w:trPr>
          <w:trHeight w:val="252"/>
          <w:jc w:val="center"/>
        </w:trPr>
        <w:tc>
          <w:tcPr>
            <w:tcW w:w="3164" w:type="dxa"/>
            <w:tcBorders>
              <w:top w:val="nil"/>
              <w:left w:val="nil"/>
              <w:bottom w:val="nil"/>
              <w:right w:val="nil"/>
            </w:tcBorders>
            <w:shd w:val="clear" w:color="auto" w:fill="auto"/>
            <w:noWrap/>
            <w:vAlign w:val="center"/>
            <w:hideMark/>
          </w:tcPr>
          <w:p w14:paraId="25442D09"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Donaciones</w:t>
            </w:r>
          </w:p>
        </w:tc>
        <w:tc>
          <w:tcPr>
            <w:tcW w:w="861" w:type="dxa"/>
            <w:tcBorders>
              <w:top w:val="nil"/>
              <w:left w:val="nil"/>
              <w:bottom w:val="nil"/>
              <w:right w:val="nil"/>
            </w:tcBorders>
            <w:shd w:val="clear" w:color="auto" w:fill="auto"/>
            <w:noWrap/>
            <w:vAlign w:val="center"/>
            <w:hideMark/>
          </w:tcPr>
          <w:p w14:paraId="43806E36" w14:textId="1B9DD133"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93.2</w:t>
            </w:r>
          </w:p>
        </w:tc>
        <w:tc>
          <w:tcPr>
            <w:tcW w:w="861" w:type="dxa"/>
            <w:tcBorders>
              <w:top w:val="nil"/>
              <w:left w:val="nil"/>
              <w:bottom w:val="nil"/>
              <w:right w:val="nil"/>
            </w:tcBorders>
            <w:shd w:val="clear" w:color="auto" w:fill="auto"/>
            <w:noWrap/>
            <w:vAlign w:val="center"/>
            <w:hideMark/>
          </w:tcPr>
          <w:p w14:paraId="3110F372" w14:textId="1BFB57E5"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36.7</w:t>
            </w:r>
          </w:p>
        </w:tc>
        <w:tc>
          <w:tcPr>
            <w:tcW w:w="861" w:type="dxa"/>
            <w:tcBorders>
              <w:top w:val="nil"/>
              <w:left w:val="dotDash" w:sz="4" w:space="0" w:color="auto"/>
              <w:bottom w:val="nil"/>
              <w:right w:val="nil"/>
            </w:tcBorders>
            <w:shd w:val="clear" w:color="auto" w:fill="auto"/>
            <w:noWrap/>
            <w:vAlign w:val="center"/>
            <w:hideMark/>
          </w:tcPr>
          <w:p w14:paraId="7258307B" w14:textId="675C69AB"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-56.5</w:t>
            </w:r>
          </w:p>
        </w:tc>
        <w:tc>
          <w:tcPr>
            <w:tcW w:w="906" w:type="dxa"/>
            <w:tcBorders>
              <w:top w:val="nil"/>
              <w:left w:val="nil"/>
              <w:bottom w:val="nil"/>
              <w:right w:val="nil"/>
            </w:tcBorders>
            <w:shd w:val="clear" w:color="auto" w:fill="auto"/>
            <w:noWrap/>
            <w:vAlign w:val="center"/>
            <w:hideMark/>
          </w:tcPr>
          <w:p w14:paraId="3C48D73E" w14:textId="6A84E360"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-60.6</w:t>
            </w:r>
          </w:p>
        </w:tc>
      </w:tr>
      <w:tr w:rsidR="00021528" w:rsidRPr="0064135E" w14:paraId="28085D07" w14:textId="61247121" w:rsidTr="007D65EB">
        <w:trPr>
          <w:trHeight w:val="252"/>
          <w:jc w:val="center"/>
        </w:trPr>
        <w:tc>
          <w:tcPr>
            <w:tcW w:w="3164" w:type="dxa"/>
            <w:tcBorders>
              <w:top w:val="nil"/>
              <w:left w:val="nil"/>
              <w:bottom w:val="nil"/>
              <w:right w:val="nil"/>
            </w:tcBorders>
            <w:shd w:val="clear" w:color="auto" w:fill="auto"/>
            <w:noWrap/>
            <w:vAlign w:val="center"/>
            <w:hideMark/>
          </w:tcPr>
          <w:p w14:paraId="41EAD321"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 xml:space="preserve">Otros ingresos </w:t>
            </w:r>
          </w:p>
        </w:tc>
        <w:tc>
          <w:tcPr>
            <w:tcW w:w="861" w:type="dxa"/>
            <w:tcBorders>
              <w:top w:val="nil"/>
              <w:left w:val="nil"/>
              <w:bottom w:val="nil"/>
              <w:right w:val="nil"/>
            </w:tcBorders>
            <w:shd w:val="clear" w:color="auto" w:fill="auto"/>
            <w:noWrap/>
            <w:vAlign w:val="center"/>
            <w:hideMark/>
          </w:tcPr>
          <w:p w14:paraId="68B2633D" w14:textId="1E20D445"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2,077.0</w:t>
            </w:r>
          </w:p>
        </w:tc>
        <w:tc>
          <w:tcPr>
            <w:tcW w:w="861" w:type="dxa"/>
            <w:tcBorders>
              <w:top w:val="nil"/>
              <w:left w:val="nil"/>
              <w:bottom w:val="nil"/>
              <w:right w:val="nil"/>
            </w:tcBorders>
            <w:shd w:val="clear" w:color="auto" w:fill="auto"/>
            <w:noWrap/>
            <w:vAlign w:val="center"/>
            <w:hideMark/>
          </w:tcPr>
          <w:p w14:paraId="1E961B97" w14:textId="707A22D1"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2,624.0</w:t>
            </w:r>
          </w:p>
        </w:tc>
        <w:tc>
          <w:tcPr>
            <w:tcW w:w="861" w:type="dxa"/>
            <w:tcBorders>
              <w:top w:val="nil"/>
              <w:left w:val="dotDash" w:sz="4" w:space="0" w:color="auto"/>
              <w:bottom w:val="nil"/>
              <w:right w:val="nil"/>
            </w:tcBorders>
            <w:shd w:val="clear" w:color="auto" w:fill="auto"/>
            <w:noWrap/>
            <w:vAlign w:val="center"/>
            <w:hideMark/>
          </w:tcPr>
          <w:p w14:paraId="7FAD3011" w14:textId="66FA43DF"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547.0</w:t>
            </w:r>
          </w:p>
        </w:tc>
        <w:tc>
          <w:tcPr>
            <w:tcW w:w="906" w:type="dxa"/>
            <w:tcBorders>
              <w:top w:val="nil"/>
              <w:left w:val="nil"/>
              <w:bottom w:val="nil"/>
              <w:right w:val="nil"/>
            </w:tcBorders>
            <w:shd w:val="clear" w:color="auto" w:fill="auto"/>
            <w:noWrap/>
            <w:vAlign w:val="center"/>
            <w:hideMark/>
          </w:tcPr>
          <w:p w14:paraId="3219EF91" w14:textId="7787C3A5"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26.3</w:t>
            </w:r>
          </w:p>
        </w:tc>
      </w:tr>
      <w:tr w:rsidR="00021528" w:rsidRPr="0064135E" w14:paraId="10FB4E84" w14:textId="34D575C0" w:rsidTr="007D65EB">
        <w:trPr>
          <w:trHeight w:val="252"/>
          <w:jc w:val="center"/>
        </w:trPr>
        <w:tc>
          <w:tcPr>
            <w:tcW w:w="3164" w:type="dxa"/>
            <w:tcBorders>
              <w:top w:val="nil"/>
              <w:left w:val="nil"/>
              <w:bottom w:val="nil"/>
              <w:right w:val="nil"/>
            </w:tcBorders>
            <w:shd w:val="clear" w:color="auto" w:fill="auto"/>
            <w:noWrap/>
            <w:vAlign w:val="center"/>
            <w:hideMark/>
          </w:tcPr>
          <w:p w14:paraId="63E596BB" w14:textId="77777777" w:rsidR="00021528" w:rsidRPr="0064135E" w:rsidRDefault="00021528" w:rsidP="00021528">
            <w:pPr>
              <w:rPr>
                <w:rFonts w:eastAsia="Times New Roman" w:cs="Times New Roman"/>
                <w:b/>
                <w:bCs/>
                <w:color w:val="000000"/>
                <w:sz w:val="16"/>
                <w:szCs w:val="16"/>
                <w:lang w:eastAsia="es-GT"/>
              </w:rPr>
            </w:pPr>
            <w:r w:rsidRPr="0064135E">
              <w:rPr>
                <w:rFonts w:eastAsia="Times New Roman" w:cs="Times New Roman"/>
                <w:b/>
                <w:bCs/>
                <w:color w:val="000000"/>
                <w:sz w:val="16"/>
                <w:szCs w:val="16"/>
                <w:lang w:eastAsia="es-GT"/>
              </w:rPr>
              <w:t>GASTO</w:t>
            </w:r>
          </w:p>
        </w:tc>
        <w:tc>
          <w:tcPr>
            <w:tcW w:w="861" w:type="dxa"/>
            <w:tcBorders>
              <w:top w:val="nil"/>
              <w:left w:val="nil"/>
              <w:bottom w:val="nil"/>
              <w:right w:val="nil"/>
            </w:tcBorders>
            <w:shd w:val="clear" w:color="auto" w:fill="auto"/>
            <w:noWrap/>
            <w:vAlign w:val="center"/>
            <w:hideMark/>
          </w:tcPr>
          <w:p w14:paraId="79D45ED2" w14:textId="208805EC"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72,319.1</w:t>
            </w:r>
          </w:p>
        </w:tc>
        <w:tc>
          <w:tcPr>
            <w:tcW w:w="861" w:type="dxa"/>
            <w:tcBorders>
              <w:top w:val="nil"/>
              <w:left w:val="nil"/>
              <w:bottom w:val="nil"/>
              <w:right w:val="nil"/>
            </w:tcBorders>
            <w:shd w:val="clear" w:color="auto" w:fill="auto"/>
            <w:noWrap/>
            <w:vAlign w:val="center"/>
            <w:hideMark/>
          </w:tcPr>
          <w:p w14:paraId="634684CA" w14:textId="50099DBA"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80,190.0</w:t>
            </w:r>
          </w:p>
        </w:tc>
        <w:tc>
          <w:tcPr>
            <w:tcW w:w="861" w:type="dxa"/>
            <w:tcBorders>
              <w:top w:val="nil"/>
              <w:left w:val="dotDash" w:sz="4" w:space="0" w:color="auto"/>
              <w:bottom w:val="nil"/>
              <w:right w:val="nil"/>
            </w:tcBorders>
            <w:shd w:val="clear" w:color="auto" w:fill="auto"/>
            <w:noWrap/>
            <w:vAlign w:val="center"/>
            <w:hideMark/>
          </w:tcPr>
          <w:p w14:paraId="236125CE" w14:textId="19F24F60"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7,870.9</w:t>
            </w:r>
          </w:p>
        </w:tc>
        <w:tc>
          <w:tcPr>
            <w:tcW w:w="906" w:type="dxa"/>
            <w:tcBorders>
              <w:top w:val="nil"/>
              <w:left w:val="nil"/>
              <w:bottom w:val="nil"/>
              <w:right w:val="nil"/>
            </w:tcBorders>
            <w:shd w:val="clear" w:color="auto" w:fill="auto"/>
            <w:noWrap/>
            <w:vAlign w:val="center"/>
            <w:hideMark/>
          </w:tcPr>
          <w:p w14:paraId="60F4234E" w14:textId="31B945FA"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10.9</w:t>
            </w:r>
          </w:p>
        </w:tc>
      </w:tr>
      <w:tr w:rsidR="00021528" w:rsidRPr="0064135E" w14:paraId="461F9122" w14:textId="73A51B27" w:rsidTr="007D65EB">
        <w:trPr>
          <w:trHeight w:val="252"/>
          <w:jc w:val="center"/>
        </w:trPr>
        <w:tc>
          <w:tcPr>
            <w:tcW w:w="3164" w:type="dxa"/>
            <w:tcBorders>
              <w:top w:val="nil"/>
              <w:left w:val="nil"/>
              <w:bottom w:val="nil"/>
              <w:right w:val="nil"/>
            </w:tcBorders>
            <w:shd w:val="clear" w:color="auto" w:fill="auto"/>
            <w:noWrap/>
            <w:vAlign w:val="center"/>
            <w:hideMark/>
          </w:tcPr>
          <w:p w14:paraId="13FFD601"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 xml:space="preserve">Remuneración a los empleados </w:t>
            </w:r>
          </w:p>
        </w:tc>
        <w:tc>
          <w:tcPr>
            <w:tcW w:w="861" w:type="dxa"/>
            <w:tcBorders>
              <w:top w:val="nil"/>
              <w:left w:val="nil"/>
              <w:bottom w:val="nil"/>
              <w:right w:val="nil"/>
            </w:tcBorders>
            <w:shd w:val="clear" w:color="auto" w:fill="auto"/>
            <w:noWrap/>
            <w:vAlign w:val="center"/>
            <w:hideMark/>
          </w:tcPr>
          <w:p w14:paraId="58C192BE" w14:textId="3D995166"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23,202.2</w:t>
            </w:r>
          </w:p>
        </w:tc>
        <w:tc>
          <w:tcPr>
            <w:tcW w:w="861" w:type="dxa"/>
            <w:tcBorders>
              <w:top w:val="nil"/>
              <w:left w:val="nil"/>
              <w:bottom w:val="nil"/>
              <w:right w:val="nil"/>
            </w:tcBorders>
            <w:shd w:val="clear" w:color="auto" w:fill="auto"/>
            <w:noWrap/>
            <w:vAlign w:val="center"/>
            <w:hideMark/>
          </w:tcPr>
          <w:p w14:paraId="15276D93" w14:textId="206181B1"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25,621.6</w:t>
            </w:r>
          </w:p>
        </w:tc>
        <w:tc>
          <w:tcPr>
            <w:tcW w:w="861" w:type="dxa"/>
            <w:tcBorders>
              <w:top w:val="nil"/>
              <w:left w:val="dotDash" w:sz="4" w:space="0" w:color="auto"/>
              <w:bottom w:val="nil"/>
              <w:right w:val="nil"/>
            </w:tcBorders>
            <w:shd w:val="clear" w:color="auto" w:fill="auto"/>
            <w:noWrap/>
            <w:vAlign w:val="center"/>
            <w:hideMark/>
          </w:tcPr>
          <w:p w14:paraId="24A35F1F" w14:textId="73FED2B4"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2,419.4</w:t>
            </w:r>
          </w:p>
        </w:tc>
        <w:tc>
          <w:tcPr>
            <w:tcW w:w="906" w:type="dxa"/>
            <w:tcBorders>
              <w:top w:val="nil"/>
              <w:left w:val="nil"/>
              <w:bottom w:val="nil"/>
              <w:right w:val="nil"/>
            </w:tcBorders>
            <w:shd w:val="clear" w:color="auto" w:fill="auto"/>
            <w:noWrap/>
            <w:vAlign w:val="center"/>
            <w:hideMark/>
          </w:tcPr>
          <w:p w14:paraId="2A84DD03" w14:textId="45C81D7D"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10.4</w:t>
            </w:r>
          </w:p>
        </w:tc>
      </w:tr>
      <w:tr w:rsidR="00021528" w:rsidRPr="0064135E" w14:paraId="763002C0" w14:textId="7834390E" w:rsidTr="007D65EB">
        <w:trPr>
          <w:trHeight w:val="252"/>
          <w:jc w:val="center"/>
        </w:trPr>
        <w:tc>
          <w:tcPr>
            <w:tcW w:w="3164" w:type="dxa"/>
            <w:tcBorders>
              <w:top w:val="nil"/>
              <w:left w:val="nil"/>
              <w:bottom w:val="nil"/>
              <w:right w:val="nil"/>
            </w:tcBorders>
            <w:shd w:val="clear" w:color="auto" w:fill="auto"/>
            <w:noWrap/>
            <w:vAlign w:val="center"/>
            <w:hideMark/>
          </w:tcPr>
          <w:p w14:paraId="440FA569"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 xml:space="preserve">Uso de bienes y servicios  </w:t>
            </w:r>
          </w:p>
        </w:tc>
        <w:tc>
          <w:tcPr>
            <w:tcW w:w="861" w:type="dxa"/>
            <w:tcBorders>
              <w:top w:val="nil"/>
              <w:left w:val="nil"/>
              <w:bottom w:val="nil"/>
              <w:right w:val="nil"/>
            </w:tcBorders>
            <w:shd w:val="clear" w:color="auto" w:fill="auto"/>
            <w:noWrap/>
            <w:vAlign w:val="center"/>
            <w:hideMark/>
          </w:tcPr>
          <w:p w14:paraId="274981BE" w14:textId="501B7016"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9,378.0</w:t>
            </w:r>
          </w:p>
        </w:tc>
        <w:tc>
          <w:tcPr>
            <w:tcW w:w="861" w:type="dxa"/>
            <w:tcBorders>
              <w:top w:val="nil"/>
              <w:left w:val="nil"/>
              <w:bottom w:val="nil"/>
              <w:right w:val="nil"/>
            </w:tcBorders>
            <w:shd w:val="clear" w:color="auto" w:fill="auto"/>
            <w:noWrap/>
            <w:vAlign w:val="center"/>
            <w:hideMark/>
          </w:tcPr>
          <w:p w14:paraId="4A030C45" w14:textId="0C810107"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11,214.9</w:t>
            </w:r>
          </w:p>
        </w:tc>
        <w:tc>
          <w:tcPr>
            <w:tcW w:w="861" w:type="dxa"/>
            <w:tcBorders>
              <w:top w:val="nil"/>
              <w:left w:val="dotDash" w:sz="4" w:space="0" w:color="auto"/>
              <w:bottom w:val="nil"/>
              <w:right w:val="nil"/>
            </w:tcBorders>
            <w:shd w:val="clear" w:color="auto" w:fill="auto"/>
            <w:noWrap/>
            <w:vAlign w:val="center"/>
            <w:hideMark/>
          </w:tcPr>
          <w:p w14:paraId="71FAA062" w14:textId="4A369C19"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1,836.9</w:t>
            </w:r>
          </w:p>
        </w:tc>
        <w:tc>
          <w:tcPr>
            <w:tcW w:w="906" w:type="dxa"/>
            <w:tcBorders>
              <w:top w:val="nil"/>
              <w:left w:val="nil"/>
              <w:bottom w:val="nil"/>
              <w:right w:val="nil"/>
            </w:tcBorders>
            <w:shd w:val="clear" w:color="auto" w:fill="auto"/>
            <w:noWrap/>
            <w:vAlign w:val="center"/>
            <w:hideMark/>
          </w:tcPr>
          <w:p w14:paraId="36E7D054" w14:textId="5F5B5459"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19.6</w:t>
            </w:r>
          </w:p>
        </w:tc>
      </w:tr>
      <w:tr w:rsidR="00021528" w:rsidRPr="0064135E" w14:paraId="59EDB4D0" w14:textId="084FA0BF" w:rsidTr="007D65EB">
        <w:trPr>
          <w:trHeight w:val="252"/>
          <w:jc w:val="center"/>
        </w:trPr>
        <w:tc>
          <w:tcPr>
            <w:tcW w:w="3164" w:type="dxa"/>
            <w:tcBorders>
              <w:top w:val="nil"/>
              <w:left w:val="nil"/>
              <w:bottom w:val="nil"/>
              <w:right w:val="nil"/>
            </w:tcBorders>
            <w:shd w:val="clear" w:color="auto" w:fill="auto"/>
            <w:noWrap/>
            <w:vAlign w:val="center"/>
            <w:hideMark/>
          </w:tcPr>
          <w:p w14:paraId="2AE67098"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 xml:space="preserve">Intereses </w:t>
            </w:r>
          </w:p>
        </w:tc>
        <w:tc>
          <w:tcPr>
            <w:tcW w:w="861" w:type="dxa"/>
            <w:tcBorders>
              <w:top w:val="nil"/>
              <w:left w:val="nil"/>
              <w:bottom w:val="nil"/>
              <w:right w:val="nil"/>
            </w:tcBorders>
            <w:shd w:val="clear" w:color="auto" w:fill="auto"/>
            <w:noWrap/>
            <w:vAlign w:val="center"/>
            <w:hideMark/>
          </w:tcPr>
          <w:p w14:paraId="657A3FF9" w14:textId="4EC8E9A6"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8,450.0</w:t>
            </w:r>
          </w:p>
        </w:tc>
        <w:tc>
          <w:tcPr>
            <w:tcW w:w="861" w:type="dxa"/>
            <w:tcBorders>
              <w:top w:val="nil"/>
              <w:left w:val="nil"/>
              <w:bottom w:val="nil"/>
              <w:right w:val="nil"/>
            </w:tcBorders>
            <w:shd w:val="clear" w:color="auto" w:fill="auto"/>
            <w:noWrap/>
            <w:vAlign w:val="center"/>
            <w:hideMark/>
          </w:tcPr>
          <w:p w14:paraId="1DF51B9C" w14:textId="162FD6C0"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9,415.4</w:t>
            </w:r>
          </w:p>
        </w:tc>
        <w:tc>
          <w:tcPr>
            <w:tcW w:w="861" w:type="dxa"/>
            <w:tcBorders>
              <w:top w:val="nil"/>
              <w:left w:val="dotDash" w:sz="4" w:space="0" w:color="auto"/>
              <w:bottom w:val="nil"/>
              <w:right w:val="nil"/>
            </w:tcBorders>
            <w:shd w:val="clear" w:color="auto" w:fill="auto"/>
            <w:noWrap/>
            <w:vAlign w:val="center"/>
            <w:hideMark/>
          </w:tcPr>
          <w:p w14:paraId="5F30F594" w14:textId="06702BD8"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965.4</w:t>
            </w:r>
          </w:p>
        </w:tc>
        <w:tc>
          <w:tcPr>
            <w:tcW w:w="906" w:type="dxa"/>
            <w:tcBorders>
              <w:top w:val="nil"/>
              <w:left w:val="nil"/>
              <w:bottom w:val="nil"/>
              <w:right w:val="nil"/>
            </w:tcBorders>
            <w:shd w:val="clear" w:color="auto" w:fill="auto"/>
            <w:noWrap/>
            <w:vAlign w:val="center"/>
            <w:hideMark/>
          </w:tcPr>
          <w:p w14:paraId="744A1AA9" w14:textId="1C2979A2"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11.4</w:t>
            </w:r>
          </w:p>
        </w:tc>
      </w:tr>
      <w:tr w:rsidR="00021528" w:rsidRPr="0064135E" w14:paraId="4F52C47F" w14:textId="52E7ED7E" w:rsidTr="007D65EB">
        <w:trPr>
          <w:trHeight w:val="252"/>
          <w:jc w:val="center"/>
        </w:trPr>
        <w:tc>
          <w:tcPr>
            <w:tcW w:w="3164" w:type="dxa"/>
            <w:tcBorders>
              <w:top w:val="nil"/>
              <w:left w:val="nil"/>
              <w:bottom w:val="nil"/>
              <w:right w:val="nil"/>
            </w:tcBorders>
            <w:shd w:val="clear" w:color="auto" w:fill="auto"/>
            <w:noWrap/>
            <w:vAlign w:val="center"/>
            <w:hideMark/>
          </w:tcPr>
          <w:p w14:paraId="0F3E6D4D"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 xml:space="preserve">Subsidios </w:t>
            </w:r>
          </w:p>
        </w:tc>
        <w:tc>
          <w:tcPr>
            <w:tcW w:w="861" w:type="dxa"/>
            <w:tcBorders>
              <w:top w:val="nil"/>
              <w:left w:val="nil"/>
              <w:bottom w:val="nil"/>
              <w:right w:val="nil"/>
            </w:tcBorders>
            <w:shd w:val="clear" w:color="auto" w:fill="auto"/>
            <w:noWrap/>
            <w:vAlign w:val="center"/>
            <w:hideMark/>
          </w:tcPr>
          <w:p w14:paraId="68F3DF5D" w14:textId="7A3530E5"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3,275.5</w:t>
            </w:r>
          </w:p>
        </w:tc>
        <w:tc>
          <w:tcPr>
            <w:tcW w:w="861" w:type="dxa"/>
            <w:tcBorders>
              <w:top w:val="nil"/>
              <w:left w:val="nil"/>
              <w:bottom w:val="nil"/>
              <w:right w:val="nil"/>
            </w:tcBorders>
            <w:shd w:val="clear" w:color="auto" w:fill="auto"/>
            <w:noWrap/>
            <w:vAlign w:val="center"/>
            <w:hideMark/>
          </w:tcPr>
          <w:p w14:paraId="6ECCDC0F" w14:textId="08BBDA7F"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1,105.5</w:t>
            </w:r>
          </w:p>
        </w:tc>
        <w:tc>
          <w:tcPr>
            <w:tcW w:w="861" w:type="dxa"/>
            <w:tcBorders>
              <w:top w:val="nil"/>
              <w:left w:val="dotDash" w:sz="4" w:space="0" w:color="auto"/>
              <w:bottom w:val="nil"/>
              <w:right w:val="nil"/>
            </w:tcBorders>
            <w:shd w:val="clear" w:color="auto" w:fill="auto"/>
            <w:noWrap/>
            <w:vAlign w:val="center"/>
            <w:hideMark/>
          </w:tcPr>
          <w:p w14:paraId="44230D28" w14:textId="5B146645"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-2,170.0</w:t>
            </w:r>
          </w:p>
        </w:tc>
        <w:tc>
          <w:tcPr>
            <w:tcW w:w="906" w:type="dxa"/>
            <w:tcBorders>
              <w:top w:val="nil"/>
              <w:left w:val="nil"/>
              <w:bottom w:val="nil"/>
              <w:right w:val="nil"/>
            </w:tcBorders>
            <w:shd w:val="clear" w:color="auto" w:fill="auto"/>
            <w:noWrap/>
            <w:vAlign w:val="center"/>
            <w:hideMark/>
          </w:tcPr>
          <w:p w14:paraId="0FBC8BFB" w14:textId="1072B76E"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-66.2</w:t>
            </w:r>
          </w:p>
        </w:tc>
      </w:tr>
      <w:tr w:rsidR="00021528" w:rsidRPr="0064135E" w14:paraId="1F5BC8D0" w14:textId="0482C69D" w:rsidTr="007D65EB">
        <w:trPr>
          <w:trHeight w:val="252"/>
          <w:jc w:val="center"/>
        </w:trPr>
        <w:tc>
          <w:tcPr>
            <w:tcW w:w="3164" w:type="dxa"/>
            <w:tcBorders>
              <w:top w:val="nil"/>
              <w:left w:val="nil"/>
              <w:bottom w:val="nil"/>
              <w:right w:val="nil"/>
            </w:tcBorders>
            <w:shd w:val="clear" w:color="auto" w:fill="auto"/>
            <w:noWrap/>
            <w:vAlign w:val="center"/>
            <w:hideMark/>
          </w:tcPr>
          <w:p w14:paraId="35490B56"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 xml:space="preserve">Donaciones </w:t>
            </w:r>
          </w:p>
        </w:tc>
        <w:tc>
          <w:tcPr>
            <w:tcW w:w="861" w:type="dxa"/>
            <w:tcBorders>
              <w:top w:val="nil"/>
              <w:left w:val="nil"/>
              <w:bottom w:val="nil"/>
              <w:right w:val="nil"/>
            </w:tcBorders>
            <w:shd w:val="clear" w:color="auto" w:fill="auto"/>
            <w:noWrap/>
            <w:vAlign w:val="center"/>
            <w:hideMark/>
          </w:tcPr>
          <w:p w14:paraId="4E44BBDB" w14:textId="6F2EAD3A"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17,837.8</w:t>
            </w:r>
          </w:p>
        </w:tc>
        <w:tc>
          <w:tcPr>
            <w:tcW w:w="861" w:type="dxa"/>
            <w:tcBorders>
              <w:top w:val="nil"/>
              <w:left w:val="nil"/>
              <w:bottom w:val="nil"/>
              <w:right w:val="nil"/>
            </w:tcBorders>
            <w:shd w:val="clear" w:color="auto" w:fill="auto"/>
            <w:noWrap/>
            <w:vAlign w:val="center"/>
            <w:hideMark/>
          </w:tcPr>
          <w:p w14:paraId="3DE7A3B0" w14:textId="7B47B7A8"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20,454.5</w:t>
            </w:r>
          </w:p>
        </w:tc>
        <w:tc>
          <w:tcPr>
            <w:tcW w:w="861" w:type="dxa"/>
            <w:tcBorders>
              <w:top w:val="nil"/>
              <w:left w:val="dotDash" w:sz="4" w:space="0" w:color="auto"/>
              <w:bottom w:val="nil"/>
              <w:right w:val="nil"/>
            </w:tcBorders>
            <w:shd w:val="clear" w:color="auto" w:fill="auto"/>
            <w:noWrap/>
            <w:vAlign w:val="center"/>
            <w:hideMark/>
          </w:tcPr>
          <w:p w14:paraId="7A7F7CB0" w14:textId="6A874678"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2,616.7</w:t>
            </w:r>
          </w:p>
        </w:tc>
        <w:tc>
          <w:tcPr>
            <w:tcW w:w="906" w:type="dxa"/>
            <w:tcBorders>
              <w:top w:val="nil"/>
              <w:left w:val="nil"/>
              <w:bottom w:val="nil"/>
              <w:right w:val="nil"/>
            </w:tcBorders>
            <w:shd w:val="clear" w:color="auto" w:fill="auto"/>
            <w:noWrap/>
            <w:vAlign w:val="center"/>
            <w:hideMark/>
          </w:tcPr>
          <w:p w14:paraId="07DF5F68" w14:textId="4B84296D"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14.7</w:t>
            </w:r>
          </w:p>
        </w:tc>
      </w:tr>
      <w:tr w:rsidR="00021528" w:rsidRPr="0064135E" w14:paraId="6A4F1395" w14:textId="2D8A8ED3" w:rsidTr="007D65EB">
        <w:trPr>
          <w:trHeight w:val="252"/>
          <w:jc w:val="center"/>
        </w:trPr>
        <w:tc>
          <w:tcPr>
            <w:tcW w:w="3164" w:type="dxa"/>
            <w:tcBorders>
              <w:top w:val="nil"/>
              <w:left w:val="nil"/>
              <w:bottom w:val="nil"/>
              <w:right w:val="nil"/>
            </w:tcBorders>
            <w:shd w:val="clear" w:color="auto" w:fill="auto"/>
            <w:noWrap/>
            <w:vAlign w:val="center"/>
            <w:hideMark/>
          </w:tcPr>
          <w:p w14:paraId="1F33979A"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 xml:space="preserve">Prestaciones sociales </w:t>
            </w:r>
          </w:p>
        </w:tc>
        <w:tc>
          <w:tcPr>
            <w:tcW w:w="861" w:type="dxa"/>
            <w:tcBorders>
              <w:top w:val="nil"/>
              <w:left w:val="nil"/>
              <w:bottom w:val="nil"/>
              <w:right w:val="nil"/>
            </w:tcBorders>
            <w:shd w:val="clear" w:color="auto" w:fill="auto"/>
            <w:noWrap/>
            <w:vAlign w:val="center"/>
            <w:hideMark/>
          </w:tcPr>
          <w:p w14:paraId="194B9FBA" w14:textId="40C01B92"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4,734.0</w:t>
            </w:r>
          </w:p>
        </w:tc>
        <w:tc>
          <w:tcPr>
            <w:tcW w:w="861" w:type="dxa"/>
            <w:tcBorders>
              <w:top w:val="nil"/>
              <w:left w:val="nil"/>
              <w:bottom w:val="nil"/>
              <w:right w:val="nil"/>
            </w:tcBorders>
            <w:shd w:val="clear" w:color="auto" w:fill="auto"/>
            <w:noWrap/>
            <w:vAlign w:val="center"/>
            <w:hideMark/>
          </w:tcPr>
          <w:p w14:paraId="053B5F91" w14:textId="6EB36854"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5,795.8</w:t>
            </w:r>
          </w:p>
        </w:tc>
        <w:tc>
          <w:tcPr>
            <w:tcW w:w="861" w:type="dxa"/>
            <w:tcBorders>
              <w:top w:val="nil"/>
              <w:left w:val="dotDash" w:sz="4" w:space="0" w:color="auto"/>
              <w:bottom w:val="nil"/>
              <w:right w:val="nil"/>
            </w:tcBorders>
            <w:shd w:val="clear" w:color="auto" w:fill="auto"/>
            <w:noWrap/>
            <w:vAlign w:val="center"/>
            <w:hideMark/>
          </w:tcPr>
          <w:p w14:paraId="51CDEB9B" w14:textId="36036E87"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1,061.9</w:t>
            </w:r>
          </w:p>
        </w:tc>
        <w:tc>
          <w:tcPr>
            <w:tcW w:w="906" w:type="dxa"/>
            <w:tcBorders>
              <w:top w:val="nil"/>
              <w:left w:val="nil"/>
              <w:bottom w:val="nil"/>
              <w:right w:val="nil"/>
            </w:tcBorders>
            <w:shd w:val="clear" w:color="auto" w:fill="auto"/>
            <w:noWrap/>
            <w:vAlign w:val="center"/>
            <w:hideMark/>
          </w:tcPr>
          <w:p w14:paraId="63D48068" w14:textId="5E29FEC7"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22.4</w:t>
            </w:r>
          </w:p>
        </w:tc>
      </w:tr>
      <w:tr w:rsidR="00021528" w:rsidRPr="0064135E" w14:paraId="2C09391E" w14:textId="60780AB2" w:rsidTr="007D65EB">
        <w:trPr>
          <w:trHeight w:val="252"/>
          <w:jc w:val="center"/>
        </w:trPr>
        <w:tc>
          <w:tcPr>
            <w:tcW w:w="3164" w:type="dxa"/>
            <w:tcBorders>
              <w:top w:val="nil"/>
              <w:left w:val="nil"/>
              <w:bottom w:val="nil"/>
              <w:right w:val="nil"/>
            </w:tcBorders>
            <w:shd w:val="clear" w:color="auto" w:fill="auto"/>
            <w:noWrap/>
            <w:vAlign w:val="center"/>
            <w:hideMark/>
          </w:tcPr>
          <w:p w14:paraId="76AF3A5B"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 xml:space="preserve">Otros gastos </w:t>
            </w:r>
          </w:p>
        </w:tc>
        <w:tc>
          <w:tcPr>
            <w:tcW w:w="861" w:type="dxa"/>
            <w:tcBorders>
              <w:top w:val="nil"/>
              <w:left w:val="nil"/>
              <w:bottom w:val="nil"/>
              <w:right w:val="nil"/>
            </w:tcBorders>
            <w:shd w:val="clear" w:color="auto" w:fill="auto"/>
            <w:noWrap/>
            <w:vAlign w:val="center"/>
            <w:hideMark/>
          </w:tcPr>
          <w:p w14:paraId="3B5E9F3C" w14:textId="42BAFB74"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5,441.6</w:t>
            </w:r>
          </w:p>
        </w:tc>
        <w:tc>
          <w:tcPr>
            <w:tcW w:w="861" w:type="dxa"/>
            <w:tcBorders>
              <w:top w:val="nil"/>
              <w:left w:val="nil"/>
              <w:bottom w:val="nil"/>
              <w:right w:val="nil"/>
            </w:tcBorders>
            <w:shd w:val="clear" w:color="auto" w:fill="auto"/>
            <w:noWrap/>
            <w:vAlign w:val="center"/>
            <w:hideMark/>
          </w:tcPr>
          <w:p w14:paraId="380F831C" w14:textId="24A10CCB"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6,582.3</w:t>
            </w:r>
          </w:p>
        </w:tc>
        <w:tc>
          <w:tcPr>
            <w:tcW w:w="861" w:type="dxa"/>
            <w:tcBorders>
              <w:top w:val="nil"/>
              <w:left w:val="dotDash" w:sz="4" w:space="0" w:color="auto"/>
              <w:bottom w:val="nil"/>
              <w:right w:val="nil"/>
            </w:tcBorders>
            <w:shd w:val="clear" w:color="auto" w:fill="auto"/>
            <w:noWrap/>
            <w:vAlign w:val="center"/>
            <w:hideMark/>
          </w:tcPr>
          <w:p w14:paraId="4625997F" w14:textId="7DC1BEB4"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1,140.7</w:t>
            </w:r>
          </w:p>
        </w:tc>
        <w:tc>
          <w:tcPr>
            <w:tcW w:w="906" w:type="dxa"/>
            <w:tcBorders>
              <w:top w:val="nil"/>
              <w:left w:val="nil"/>
              <w:bottom w:val="nil"/>
              <w:right w:val="nil"/>
            </w:tcBorders>
            <w:shd w:val="clear" w:color="auto" w:fill="auto"/>
            <w:noWrap/>
            <w:vAlign w:val="center"/>
            <w:hideMark/>
          </w:tcPr>
          <w:p w14:paraId="2B7E6C30" w14:textId="6CE9DFA8" w:rsidR="00021528" w:rsidRPr="0064135E" w:rsidRDefault="00021528" w:rsidP="00021528">
            <w:pPr>
              <w:jc w:val="center"/>
              <w:rPr>
                <w:rFonts w:eastAsia="Times New Roman" w:cs="Times New Roman"/>
                <w:color w:val="000000"/>
                <w:sz w:val="16"/>
                <w:szCs w:val="16"/>
                <w:lang w:eastAsia="es-GT"/>
              </w:rPr>
            </w:pPr>
            <w:r w:rsidRPr="0064135E">
              <w:rPr>
                <w:rFonts w:cs="Times New Roman"/>
                <w:color w:val="000000"/>
                <w:sz w:val="16"/>
                <w:szCs w:val="16"/>
              </w:rPr>
              <w:t>21.0</w:t>
            </w:r>
          </w:p>
        </w:tc>
      </w:tr>
      <w:tr w:rsidR="00021528" w:rsidRPr="0064135E" w14:paraId="4035D0FD" w14:textId="5440332B" w:rsidTr="007D65EB">
        <w:trPr>
          <w:trHeight w:val="252"/>
          <w:jc w:val="center"/>
        </w:trPr>
        <w:tc>
          <w:tcPr>
            <w:tcW w:w="3164" w:type="dxa"/>
            <w:tcBorders>
              <w:top w:val="nil"/>
              <w:left w:val="nil"/>
              <w:bottom w:val="nil"/>
              <w:right w:val="nil"/>
            </w:tcBorders>
            <w:shd w:val="clear" w:color="auto" w:fill="auto"/>
            <w:noWrap/>
            <w:vAlign w:val="center"/>
            <w:hideMark/>
          </w:tcPr>
          <w:p w14:paraId="78E0F8E7" w14:textId="77777777" w:rsidR="00021528" w:rsidRPr="0064135E" w:rsidRDefault="00021528" w:rsidP="00021528">
            <w:pPr>
              <w:rPr>
                <w:rFonts w:eastAsia="Times New Roman" w:cs="Times New Roman"/>
                <w:b/>
                <w:bCs/>
                <w:color w:val="000000"/>
                <w:sz w:val="16"/>
                <w:szCs w:val="16"/>
                <w:lang w:eastAsia="es-GT"/>
              </w:rPr>
            </w:pPr>
            <w:r w:rsidRPr="0064135E">
              <w:rPr>
                <w:rFonts w:eastAsia="Times New Roman" w:cs="Times New Roman"/>
                <w:b/>
                <w:bCs/>
                <w:color w:val="000000"/>
                <w:sz w:val="16"/>
                <w:szCs w:val="16"/>
                <w:lang w:eastAsia="es-GT"/>
              </w:rPr>
              <w:t>Resultado Operativo Primario</w:t>
            </w:r>
          </w:p>
        </w:tc>
        <w:tc>
          <w:tcPr>
            <w:tcW w:w="861" w:type="dxa"/>
            <w:tcBorders>
              <w:top w:val="nil"/>
              <w:left w:val="nil"/>
              <w:bottom w:val="nil"/>
              <w:right w:val="nil"/>
            </w:tcBorders>
            <w:shd w:val="clear" w:color="auto" w:fill="auto"/>
            <w:noWrap/>
            <w:vAlign w:val="center"/>
            <w:hideMark/>
          </w:tcPr>
          <w:p w14:paraId="69B9C148" w14:textId="2FD9EBA6"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6,545.8</w:t>
            </w:r>
          </w:p>
        </w:tc>
        <w:tc>
          <w:tcPr>
            <w:tcW w:w="861" w:type="dxa"/>
            <w:tcBorders>
              <w:top w:val="nil"/>
              <w:left w:val="nil"/>
              <w:bottom w:val="nil"/>
              <w:right w:val="nil"/>
            </w:tcBorders>
            <w:shd w:val="clear" w:color="auto" w:fill="auto"/>
            <w:noWrap/>
            <w:vAlign w:val="center"/>
            <w:hideMark/>
          </w:tcPr>
          <w:p w14:paraId="1638E1AB" w14:textId="5732BDB2"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6,133.0</w:t>
            </w:r>
          </w:p>
        </w:tc>
        <w:tc>
          <w:tcPr>
            <w:tcW w:w="861" w:type="dxa"/>
            <w:tcBorders>
              <w:top w:val="nil"/>
              <w:left w:val="dotDash" w:sz="4" w:space="0" w:color="auto"/>
              <w:bottom w:val="nil"/>
              <w:right w:val="nil"/>
            </w:tcBorders>
            <w:shd w:val="clear" w:color="auto" w:fill="auto"/>
            <w:noWrap/>
            <w:vAlign w:val="center"/>
            <w:hideMark/>
          </w:tcPr>
          <w:p w14:paraId="1F360FED" w14:textId="46D60CFE"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-412.8</w:t>
            </w:r>
          </w:p>
        </w:tc>
        <w:tc>
          <w:tcPr>
            <w:tcW w:w="906" w:type="dxa"/>
            <w:tcBorders>
              <w:top w:val="nil"/>
              <w:left w:val="nil"/>
              <w:bottom w:val="nil"/>
              <w:right w:val="nil"/>
            </w:tcBorders>
            <w:shd w:val="clear" w:color="auto" w:fill="auto"/>
            <w:noWrap/>
            <w:vAlign w:val="center"/>
            <w:hideMark/>
          </w:tcPr>
          <w:p w14:paraId="780DB06A" w14:textId="21BC54CA"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-6.3</w:t>
            </w:r>
          </w:p>
        </w:tc>
      </w:tr>
      <w:tr w:rsidR="00021528" w:rsidRPr="0064135E" w14:paraId="2491D8E0" w14:textId="222F1EA7" w:rsidTr="007D65EB">
        <w:trPr>
          <w:trHeight w:val="264"/>
          <w:jc w:val="center"/>
        </w:trPr>
        <w:tc>
          <w:tcPr>
            <w:tcW w:w="3164" w:type="dxa"/>
            <w:tcBorders>
              <w:top w:val="nil"/>
              <w:left w:val="nil"/>
              <w:bottom w:val="nil"/>
              <w:right w:val="nil"/>
            </w:tcBorders>
            <w:shd w:val="clear" w:color="auto" w:fill="auto"/>
            <w:noWrap/>
            <w:vAlign w:val="center"/>
            <w:hideMark/>
          </w:tcPr>
          <w:p w14:paraId="6B9F44C3" w14:textId="77777777" w:rsidR="00021528" w:rsidRPr="0064135E" w:rsidRDefault="00021528" w:rsidP="00021528">
            <w:pPr>
              <w:rPr>
                <w:rFonts w:eastAsia="Times New Roman" w:cs="Times New Roman"/>
                <w:b/>
                <w:bCs/>
                <w:color w:val="000000"/>
                <w:sz w:val="16"/>
                <w:szCs w:val="16"/>
                <w:lang w:eastAsia="es-GT"/>
              </w:rPr>
            </w:pPr>
            <w:r w:rsidRPr="0064135E">
              <w:rPr>
                <w:rFonts w:eastAsia="Times New Roman" w:cs="Times New Roman"/>
                <w:b/>
                <w:bCs/>
                <w:color w:val="000000"/>
                <w:sz w:val="16"/>
                <w:szCs w:val="16"/>
                <w:lang w:eastAsia="es-GT"/>
              </w:rPr>
              <w:t>Resultado Operativo</w:t>
            </w:r>
          </w:p>
        </w:tc>
        <w:tc>
          <w:tcPr>
            <w:tcW w:w="861" w:type="dxa"/>
            <w:tcBorders>
              <w:top w:val="nil"/>
              <w:left w:val="nil"/>
              <w:bottom w:val="nil"/>
              <w:right w:val="nil"/>
            </w:tcBorders>
            <w:shd w:val="clear" w:color="auto" w:fill="auto"/>
            <w:noWrap/>
            <w:vAlign w:val="center"/>
            <w:hideMark/>
          </w:tcPr>
          <w:p w14:paraId="581DD849" w14:textId="11AC055C"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-1,904.2</w:t>
            </w:r>
          </w:p>
        </w:tc>
        <w:tc>
          <w:tcPr>
            <w:tcW w:w="861" w:type="dxa"/>
            <w:tcBorders>
              <w:top w:val="nil"/>
              <w:left w:val="nil"/>
              <w:bottom w:val="nil"/>
              <w:right w:val="nil"/>
            </w:tcBorders>
            <w:shd w:val="clear" w:color="auto" w:fill="auto"/>
            <w:noWrap/>
            <w:vAlign w:val="center"/>
            <w:hideMark/>
          </w:tcPr>
          <w:p w14:paraId="0BFF54A5" w14:textId="7C816787"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-3,282.5</w:t>
            </w:r>
          </w:p>
        </w:tc>
        <w:tc>
          <w:tcPr>
            <w:tcW w:w="861" w:type="dxa"/>
            <w:tcBorders>
              <w:top w:val="nil"/>
              <w:left w:val="dotDash" w:sz="4" w:space="0" w:color="auto"/>
              <w:bottom w:val="nil"/>
              <w:right w:val="nil"/>
            </w:tcBorders>
            <w:shd w:val="clear" w:color="auto" w:fill="auto"/>
            <w:noWrap/>
            <w:vAlign w:val="center"/>
            <w:hideMark/>
          </w:tcPr>
          <w:p w14:paraId="5D5EF589" w14:textId="051198C8"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-1,378.3</w:t>
            </w:r>
          </w:p>
        </w:tc>
        <w:tc>
          <w:tcPr>
            <w:tcW w:w="906" w:type="dxa"/>
            <w:tcBorders>
              <w:top w:val="nil"/>
              <w:left w:val="nil"/>
              <w:bottom w:val="nil"/>
              <w:right w:val="nil"/>
            </w:tcBorders>
            <w:shd w:val="clear" w:color="auto" w:fill="auto"/>
            <w:noWrap/>
            <w:vAlign w:val="center"/>
            <w:hideMark/>
          </w:tcPr>
          <w:p w14:paraId="1EFE806F" w14:textId="316A43C5" w:rsidR="00021528" w:rsidRPr="0064135E" w:rsidRDefault="00021528" w:rsidP="00021528">
            <w:pPr>
              <w:jc w:val="center"/>
              <w:rPr>
                <w:rFonts w:eastAsia="Times New Roman" w:cs="Times New Roman"/>
                <w:b/>
                <w:bCs/>
                <w:color w:val="000000"/>
                <w:sz w:val="16"/>
                <w:szCs w:val="16"/>
                <w:lang w:eastAsia="es-GT"/>
              </w:rPr>
            </w:pPr>
            <w:r w:rsidRPr="0064135E">
              <w:rPr>
                <w:rFonts w:cs="Times New Roman"/>
                <w:b/>
                <w:bCs/>
                <w:color w:val="000000"/>
                <w:sz w:val="16"/>
                <w:szCs w:val="16"/>
              </w:rPr>
              <w:t>72.4</w:t>
            </w:r>
          </w:p>
        </w:tc>
      </w:tr>
      <w:tr w:rsidR="00673937" w:rsidRPr="0064135E" w14:paraId="6567B959" w14:textId="34BF3C53" w:rsidTr="007D65EB">
        <w:trPr>
          <w:trHeight w:val="264"/>
          <w:jc w:val="center"/>
        </w:trPr>
        <w:tc>
          <w:tcPr>
            <w:tcW w:w="6653" w:type="dxa"/>
            <w:gridSpan w:val="5"/>
            <w:tcBorders>
              <w:top w:val="single" w:sz="8" w:space="0" w:color="auto"/>
              <w:left w:val="nil"/>
              <w:bottom w:val="double" w:sz="6" w:space="0" w:color="auto"/>
              <w:right w:val="nil"/>
            </w:tcBorders>
            <w:shd w:val="clear" w:color="auto" w:fill="auto"/>
            <w:noWrap/>
            <w:vAlign w:val="center"/>
            <w:hideMark/>
          </w:tcPr>
          <w:p w14:paraId="0A39C5D9" w14:textId="77777777" w:rsidR="00673937" w:rsidRPr="0064135E" w:rsidRDefault="00673937" w:rsidP="003E4789">
            <w:pPr>
              <w:rPr>
                <w:rFonts w:eastAsia="Times New Roman" w:cs="Times New Roman"/>
                <w:color w:val="4472C4"/>
                <w:sz w:val="18"/>
                <w:szCs w:val="18"/>
                <w:lang w:eastAsia="es-GT"/>
              </w:rPr>
            </w:pPr>
            <w:r w:rsidRPr="0064135E">
              <w:rPr>
                <w:rFonts w:eastAsia="Times New Roman" w:cs="Times New Roman"/>
                <w:color w:val="4472C4"/>
                <w:sz w:val="18"/>
                <w:szCs w:val="18"/>
                <w:lang w:eastAsia="es-GT"/>
              </w:rPr>
              <w:t>TRANSACCIONES EN ACTIVOS NO FINANCIEROS</w:t>
            </w:r>
          </w:p>
        </w:tc>
      </w:tr>
      <w:tr w:rsidR="00021528" w:rsidRPr="0064135E" w14:paraId="084D0011" w14:textId="277EE412" w:rsidTr="007D65EB">
        <w:trPr>
          <w:trHeight w:val="264"/>
          <w:jc w:val="center"/>
        </w:trPr>
        <w:tc>
          <w:tcPr>
            <w:tcW w:w="3164" w:type="dxa"/>
            <w:tcBorders>
              <w:top w:val="nil"/>
              <w:left w:val="nil"/>
              <w:bottom w:val="nil"/>
              <w:right w:val="nil"/>
            </w:tcBorders>
            <w:shd w:val="clear" w:color="auto" w:fill="auto"/>
            <w:noWrap/>
            <w:vAlign w:val="center"/>
            <w:hideMark/>
          </w:tcPr>
          <w:p w14:paraId="573E68EB" w14:textId="77777777" w:rsidR="00021528" w:rsidRPr="0064135E" w:rsidRDefault="00021528" w:rsidP="00021528">
            <w:pPr>
              <w:rPr>
                <w:rFonts w:eastAsia="Times New Roman" w:cs="Times New Roman"/>
                <w:color w:val="000000"/>
                <w:sz w:val="16"/>
                <w:szCs w:val="16"/>
                <w:lang w:eastAsia="es-GT"/>
              </w:rPr>
            </w:pPr>
            <w:r w:rsidRPr="0064135E">
              <w:rPr>
                <w:rFonts w:eastAsia="Times New Roman" w:cs="Times New Roman"/>
                <w:color w:val="000000"/>
                <w:sz w:val="16"/>
                <w:szCs w:val="16"/>
                <w:lang w:eastAsia="es-GT"/>
              </w:rPr>
              <w:t>Inversión bruta en activos no financieros</w:t>
            </w:r>
          </w:p>
        </w:tc>
        <w:tc>
          <w:tcPr>
            <w:tcW w:w="861" w:type="dxa"/>
            <w:tcBorders>
              <w:top w:val="nil"/>
              <w:left w:val="nil"/>
              <w:bottom w:val="nil"/>
              <w:right w:val="nil"/>
            </w:tcBorders>
            <w:shd w:val="clear" w:color="auto" w:fill="auto"/>
            <w:noWrap/>
            <w:vAlign w:val="center"/>
            <w:hideMark/>
          </w:tcPr>
          <w:p w14:paraId="104BD431" w14:textId="190BBA78"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2,540.3</w:t>
            </w:r>
          </w:p>
        </w:tc>
        <w:tc>
          <w:tcPr>
            <w:tcW w:w="861" w:type="dxa"/>
            <w:tcBorders>
              <w:top w:val="nil"/>
              <w:left w:val="nil"/>
              <w:bottom w:val="nil"/>
              <w:right w:val="nil"/>
            </w:tcBorders>
            <w:shd w:val="clear" w:color="auto" w:fill="auto"/>
            <w:noWrap/>
            <w:vAlign w:val="center"/>
            <w:hideMark/>
          </w:tcPr>
          <w:p w14:paraId="481826F4" w14:textId="1E68022D"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3,586.8</w:t>
            </w:r>
          </w:p>
        </w:tc>
        <w:tc>
          <w:tcPr>
            <w:tcW w:w="861" w:type="dxa"/>
            <w:tcBorders>
              <w:top w:val="double" w:sz="6" w:space="0" w:color="auto"/>
              <w:left w:val="dotDash" w:sz="4" w:space="0" w:color="auto"/>
              <w:bottom w:val="nil"/>
              <w:right w:val="nil"/>
            </w:tcBorders>
            <w:shd w:val="clear" w:color="auto" w:fill="auto"/>
            <w:noWrap/>
            <w:vAlign w:val="center"/>
            <w:hideMark/>
          </w:tcPr>
          <w:p w14:paraId="619B3F99" w14:textId="7C5C815B"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1,046.5</w:t>
            </w:r>
          </w:p>
        </w:tc>
        <w:tc>
          <w:tcPr>
            <w:tcW w:w="906" w:type="dxa"/>
            <w:tcBorders>
              <w:top w:val="nil"/>
              <w:left w:val="nil"/>
              <w:bottom w:val="nil"/>
              <w:right w:val="nil"/>
            </w:tcBorders>
            <w:shd w:val="clear" w:color="auto" w:fill="auto"/>
            <w:noWrap/>
            <w:vAlign w:val="center"/>
            <w:hideMark/>
          </w:tcPr>
          <w:p w14:paraId="1BE3AC12" w14:textId="134DC4B3"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41.2</w:t>
            </w:r>
          </w:p>
        </w:tc>
      </w:tr>
      <w:tr w:rsidR="00021528" w:rsidRPr="0064135E" w14:paraId="5A8D5892" w14:textId="5C3FC364" w:rsidTr="007D65EB">
        <w:trPr>
          <w:trHeight w:val="252"/>
          <w:jc w:val="center"/>
        </w:trPr>
        <w:tc>
          <w:tcPr>
            <w:tcW w:w="3164" w:type="dxa"/>
            <w:tcBorders>
              <w:top w:val="nil"/>
              <w:left w:val="nil"/>
              <w:bottom w:val="nil"/>
              <w:right w:val="nil"/>
            </w:tcBorders>
            <w:shd w:val="clear" w:color="auto" w:fill="auto"/>
            <w:noWrap/>
            <w:vAlign w:val="center"/>
            <w:hideMark/>
          </w:tcPr>
          <w:p w14:paraId="0D083145" w14:textId="77777777" w:rsidR="00021528" w:rsidRPr="0064135E" w:rsidRDefault="00021528" w:rsidP="00021528">
            <w:pPr>
              <w:rPr>
                <w:rFonts w:eastAsia="Times New Roman" w:cs="Times New Roman"/>
                <w:color w:val="000000"/>
                <w:sz w:val="16"/>
                <w:szCs w:val="16"/>
                <w:lang w:eastAsia="es-GT"/>
              </w:rPr>
            </w:pPr>
            <w:r w:rsidRPr="0064135E">
              <w:rPr>
                <w:rFonts w:eastAsia="Times New Roman" w:cs="Times New Roman"/>
                <w:color w:val="000000"/>
                <w:sz w:val="16"/>
                <w:szCs w:val="16"/>
                <w:lang w:eastAsia="es-GT"/>
              </w:rPr>
              <w:t>Erogación</w:t>
            </w:r>
          </w:p>
        </w:tc>
        <w:tc>
          <w:tcPr>
            <w:tcW w:w="861" w:type="dxa"/>
            <w:tcBorders>
              <w:top w:val="nil"/>
              <w:left w:val="nil"/>
              <w:bottom w:val="nil"/>
              <w:right w:val="nil"/>
            </w:tcBorders>
            <w:shd w:val="clear" w:color="auto" w:fill="auto"/>
            <w:noWrap/>
            <w:vAlign w:val="center"/>
            <w:hideMark/>
          </w:tcPr>
          <w:p w14:paraId="0E56D42C" w14:textId="23901F22"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74,859.4</w:t>
            </w:r>
          </w:p>
        </w:tc>
        <w:tc>
          <w:tcPr>
            <w:tcW w:w="861" w:type="dxa"/>
            <w:tcBorders>
              <w:top w:val="nil"/>
              <w:left w:val="nil"/>
              <w:bottom w:val="nil"/>
              <w:right w:val="nil"/>
            </w:tcBorders>
            <w:shd w:val="clear" w:color="auto" w:fill="auto"/>
            <w:noWrap/>
            <w:vAlign w:val="center"/>
            <w:hideMark/>
          </w:tcPr>
          <w:p w14:paraId="341666FD" w14:textId="0B7FADC8"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83,776.8</w:t>
            </w:r>
          </w:p>
        </w:tc>
        <w:tc>
          <w:tcPr>
            <w:tcW w:w="861" w:type="dxa"/>
            <w:tcBorders>
              <w:top w:val="nil"/>
              <w:left w:val="dotDash" w:sz="4" w:space="0" w:color="auto"/>
              <w:bottom w:val="nil"/>
              <w:right w:val="nil"/>
            </w:tcBorders>
            <w:shd w:val="clear" w:color="auto" w:fill="auto"/>
            <w:noWrap/>
            <w:vAlign w:val="center"/>
            <w:hideMark/>
          </w:tcPr>
          <w:p w14:paraId="5A79CAEE" w14:textId="2DE3E613"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8,917.4</w:t>
            </w:r>
          </w:p>
        </w:tc>
        <w:tc>
          <w:tcPr>
            <w:tcW w:w="906" w:type="dxa"/>
            <w:tcBorders>
              <w:top w:val="nil"/>
              <w:left w:val="nil"/>
              <w:bottom w:val="nil"/>
              <w:right w:val="nil"/>
            </w:tcBorders>
            <w:shd w:val="clear" w:color="auto" w:fill="auto"/>
            <w:noWrap/>
            <w:vAlign w:val="center"/>
            <w:hideMark/>
          </w:tcPr>
          <w:p w14:paraId="0D6AF032" w14:textId="24A5261D"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11.9</w:t>
            </w:r>
          </w:p>
        </w:tc>
      </w:tr>
      <w:tr w:rsidR="00021528" w:rsidRPr="0064135E" w14:paraId="205BFE93" w14:textId="2D3FCF6F" w:rsidTr="007D65EB">
        <w:trPr>
          <w:trHeight w:val="252"/>
          <w:jc w:val="center"/>
        </w:trPr>
        <w:tc>
          <w:tcPr>
            <w:tcW w:w="3164" w:type="dxa"/>
            <w:tcBorders>
              <w:top w:val="nil"/>
              <w:left w:val="nil"/>
              <w:bottom w:val="nil"/>
              <w:right w:val="nil"/>
            </w:tcBorders>
            <w:shd w:val="clear" w:color="auto" w:fill="auto"/>
            <w:noWrap/>
            <w:vAlign w:val="center"/>
            <w:hideMark/>
          </w:tcPr>
          <w:p w14:paraId="7B8BD1E5" w14:textId="77777777" w:rsidR="00021528" w:rsidRPr="0064135E" w:rsidRDefault="00021528" w:rsidP="00021528">
            <w:pPr>
              <w:rPr>
                <w:rFonts w:eastAsia="Times New Roman" w:cs="Times New Roman"/>
                <w:b/>
                <w:bCs/>
                <w:color w:val="000000"/>
                <w:sz w:val="16"/>
                <w:szCs w:val="16"/>
                <w:lang w:eastAsia="es-GT"/>
              </w:rPr>
            </w:pPr>
            <w:r w:rsidRPr="0064135E">
              <w:rPr>
                <w:rFonts w:eastAsia="Times New Roman" w:cs="Times New Roman"/>
                <w:b/>
                <w:bCs/>
                <w:color w:val="000000"/>
                <w:sz w:val="16"/>
                <w:szCs w:val="16"/>
                <w:lang w:eastAsia="es-GT"/>
              </w:rPr>
              <w:t>Resultado Primario</w:t>
            </w:r>
          </w:p>
        </w:tc>
        <w:tc>
          <w:tcPr>
            <w:tcW w:w="861" w:type="dxa"/>
            <w:tcBorders>
              <w:top w:val="nil"/>
              <w:left w:val="nil"/>
              <w:bottom w:val="nil"/>
              <w:right w:val="nil"/>
            </w:tcBorders>
            <w:shd w:val="clear" w:color="auto" w:fill="auto"/>
            <w:noWrap/>
            <w:vAlign w:val="center"/>
            <w:hideMark/>
          </w:tcPr>
          <w:p w14:paraId="3E003DDF" w14:textId="09208454"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4,005.5</w:t>
            </w:r>
          </w:p>
        </w:tc>
        <w:tc>
          <w:tcPr>
            <w:tcW w:w="861" w:type="dxa"/>
            <w:tcBorders>
              <w:top w:val="nil"/>
              <w:left w:val="nil"/>
              <w:bottom w:val="nil"/>
              <w:right w:val="nil"/>
            </w:tcBorders>
            <w:shd w:val="clear" w:color="auto" w:fill="auto"/>
            <w:noWrap/>
            <w:vAlign w:val="center"/>
            <w:hideMark/>
          </w:tcPr>
          <w:p w14:paraId="2A525B45" w14:textId="5CBE04BC"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2,546.2</w:t>
            </w:r>
          </w:p>
        </w:tc>
        <w:tc>
          <w:tcPr>
            <w:tcW w:w="861" w:type="dxa"/>
            <w:tcBorders>
              <w:top w:val="nil"/>
              <w:left w:val="dotDash" w:sz="4" w:space="0" w:color="auto"/>
              <w:bottom w:val="nil"/>
              <w:right w:val="nil"/>
            </w:tcBorders>
            <w:shd w:val="clear" w:color="auto" w:fill="auto"/>
            <w:noWrap/>
            <w:vAlign w:val="center"/>
            <w:hideMark/>
          </w:tcPr>
          <w:p w14:paraId="348435F1" w14:textId="2ACAEB4C"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-1,459.3</w:t>
            </w:r>
          </w:p>
        </w:tc>
        <w:tc>
          <w:tcPr>
            <w:tcW w:w="906" w:type="dxa"/>
            <w:tcBorders>
              <w:top w:val="nil"/>
              <w:left w:val="nil"/>
              <w:bottom w:val="nil"/>
              <w:right w:val="nil"/>
            </w:tcBorders>
            <w:shd w:val="clear" w:color="auto" w:fill="auto"/>
            <w:noWrap/>
            <w:vAlign w:val="center"/>
            <w:hideMark/>
          </w:tcPr>
          <w:p w14:paraId="4F162A27" w14:textId="4559782A"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-36.4</w:t>
            </w:r>
          </w:p>
        </w:tc>
      </w:tr>
      <w:tr w:rsidR="00021528" w:rsidRPr="0064135E" w14:paraId="20CDBC1D" w14:textId="227FA230" w:rsidTr="007D65EB">
        <w:trPr>
          <w:trHeight w:val="264"/>
          <w:jc w:val="center"/>
        </w:trPr>
        <w:tc>
          <w:tcPr>
            <w:tcW w:w="3164" w:type="dxa"/>
            <w:tcBorders>
              <w:top w:val="nil"/>
              <w:left w:val="nil"/>
              <w:bottom w:val="nil"/>
              <w:right w:val="nil"/>
            </w:tcBorders>
            <w:shd w:val="clear" w:color="auto" w:fill="auto"/>
            <w:noWrap/>
            <w:vAlign w:val="center"/>
            <w:hideMark/>
          </w:tcPr>
          <w:p w14:paraId="0442102B" w14:textId="77777777" w:rsidR="00021528" w:rsidRPr="0064135E" w:rsidRDefault="00021528" w:rsidP="00021528">
            <w:pPr>
              <w:rPr>
                <w:rFonts w:eastAsia="Times New Roman" w:cs="Times New Roman"/>
                <w:b/>
                <w:bCs/>
                <w:color w:val="000000"/>
                <w:sz w:val="16"/>
                <w:szCs w:val="16"/>
                <w:lang w:eastAsia="es-GT"/>
              </w:rPr>
            </w:pPr>
            <w:r w:rsidRPr="0064135E">
              <w:rPr>
                <w:rFonts w:eastAsia="Times New Roman" w:cs="Times New Roman"/>
                <w:b/>
                <w:bCs/>
                <w:color w:val="000000"/>
                <w:sz w:val="16"/>
                <w:szCs w:val="16"/>
                <w:lang w:eastAsia="es-GT"/>
              </w:rPr>
              <w:t>Préstamo (+) / endeudamiento (-)</w:t>
            </w:r>
          </w:p>
        </w:tc>
        <w:tc>
          <w:tcPr>
            <w:tcW w:w="861" w:type="dxa"/>
            <w:tcBorders>
              <w:top w:val="nil"/>
              <w:left w:val="nil"/>
              <w:bottom w:val="nil"/>
              <w:right w:val="nil"/>
            </w:tcBorders>
            <w:shd w:val="clear" w:color="auto" w:fill="auto"/>
            <w:noWrap/>
            <w:vAlign w:val="center"/>
            <w:hideMark/>
          </w:tcPr>
          <w:p w14:paraId="7572EF06" w14:textId="50D31FD5"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-4,444.5</w:t>
            </w:r>
          </w:p>
        </w:tc>
        <w:tc>
          <w:tcPr>
            <w:tcW w:w="861" w:type="dxa"/>
            <w:tcBorders>
              <w:top w:val="nil"/>
              <w:left w:val="nil"/>
              <w:bottom w:val="nil"/>
              <w:right w:val="nil"/>
            </w:tcBorders>
            <w:shd w:val="clear" w:color="auto" w:fill="auto"/>
            <w:noWrap/>
            <w:vAlign w:val="center"/>
            <w:hideMark/>
          </w:tcPr>
          <w:p w14:paraId="5548BC3A" w14:textId="1473BB90"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-6,869.2</w:t>
            </w:r>
          </w:p>
        </w:tc>
        <w:tc>
          <w:tcPr>
            <w:tcW w:w="861" w:type="dxa"/>
            <w:tcBorders>
              <w:top w:val="nil"/>
              <w:left w:val="dotDash" w:sz="4" w:space="0" w:color="auto"/>
              <w:bottom w:val="nil"/>
              <w:right w:val="nil"/>
            </w:tcBorders>
            <w:shd w:val="clear" w:color="auto" w:fill="auto"/>
            <w:noWrap/>
            <w:vAlign w:val="center"/>
            <w:hideMark/>
          </w:tcPr>
          <w:p w14:paraId="6269F16F" w14:textId="11C8188D"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-2,424.8</w:t>
            </w:r>
          </w:p>
        </w:tc>
        <w:tc>
          <w:tcPr>
            <w:tcW w:w="906" w:type="dxa"/>
            <w:tcBorders>
              <w:top w:val="nil"/>
              <w:left w:val="nil"/>
              <w:bottom w:val="nil"/>
              <w:right w:val="nil"/>
            </w:tcBorders>
            <w:shd w:val="clear" w:color="auto" w:fill="auto"/>
            <w:noWrap/>
            <w:vAlign w:val="center"/>
            <w:hideMark/>
          </w:tcPr>
          <w:p w14:paraId="15600C8A" w14:textId="1318A813"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54.6</w:t>
            </w:r>
          </w:p>
        </w:tc>
      </w:tr>
      <w:tr w:rsidR="00673937" w:rsidRPr="0064135E" w14:paraId="623E528B" w14:textId="601876CC" w:rsidTr="007D65EB">
        <w:trPr>
          <w:trHeight w:val="264"/>
          <w:jc w:val="center"/>
        </w:trPr>
        <w:tc>
          <w:tcPr>
            <w:tcW w:w="6653" w:type="dxa"/>
            <w:gridSpan w:val="5"/>
            <w:tcBorders>
              <w:top w:val="single" w:sz="8" w:space="0" w:color="auto"/>
              <w:left w:val="nil"/>
              <w:bottom w:val="double" w:sz="6" w:space="0" w:color="auto"/>
              <w:right w:val="nil"/>
            </w:tcBorders>
            <w:shd w:val="clear" w:color="auto" w:fill="auto"/>
            <w:noWrap/>
            <w:vAlign w:val="center"/>
            <w:hideMark/>
          </w:tcPr>
          <w:p w14:paraId="0FB65DEF" w14:textId="77777777" w:rsidR="00673937" w:rsidRPr="0064135E" w:rsidRDefault="00673937" w:rsidP="003E4789">
            <w:pPr>
              <w:rPr>
                <w:rFonts w:eastAsia="Times New Roman" w:cs="Times New Roman"/>
                <w:color w:val="4472C4"/>
                <w:sz w:val="18"/>
                <w:szCs w:val="18"/>
                <w:lang w:eastAsia="es-GT"/>
              </w:rPr>
            </w:pPr>
            <w:r w:rsidRPr="0064135E">
              <w:rPr>
                <w:rFonts w:eastAsia="Times New Roman" w:cs="Times New Roman"/>
                <w:color w:val="4472C4"/>
                <w:sz w:val="18"/>
                <w:szCs w:val="18"/>
                <w:lang w:eastAsia="es-GT"/>
              </w:rPr>
              <w:t>TRANSACCIONES EN ACTIVOS Y PASIVOS FINANCIEROS (FINANCIMIENTO)</w:t>
            </w:r>
          </w:p>
        </w:tc>
      </w:tr>
      <w:tr w:rsidR="00021528" w:rsidRPr="0064135E" w14:paraId="0F64AF95" w14:textId="6530705E" w:rsidTr="007D65EB">
        <w:trPr>
          <w:trHeight w:val="264"/>
          <w:jc w:val="center"/>
        </w:trPr>
        <w:tc>
          <w:tcPr>
            <w:tcW w:w="3164" w:type="dxa"/>
            <w:tcBorders>
              <w:top w:val="nil"/>
              <w:left w:val="nil"/>
              <w:bottom w:val="nil"/>
              <w:right w:val="nil"/>
            </w:tcBorders>
            <w:shd w:val="clear" w:color="auto" w:fill="auto"/>
            <w:noWrap/>
            <w:vAlign w:val="center"/>
            <w:hideMark/>
          </w:tcPr>
          <w:p w14:paraId="0BF18B98" w14:textId="77777777" w:rsidR="00021528" w:rsidRPr="0064135E" w:rsidRDefault="00021528" w:rsidP="00021528">
            <w:pPr>
              <w:rPr>
                <w:rFonts w:eastAsia="Times New Roman" w:cs="Times New Roman"/>
                <w:b/>
                <w:bCs/>
                <w:color w:val="000000"/>
                <w:sz w:val="16"/>
                <w:szCs w:val="16"/>
                <w:lang w:eastAsia="es-GT"/>
              </w:rPr>
            </w:pPr>
            <w:r w:rsidRPr="0064135E">
              <w:rPr>
                <w:rFonts w:eastAsia="Times New Roman" w:cs="Times New Roman"/>
                <w:b/>
                <w:bCs/>
                <w:color w:val="000000"/>
                <w:sz w:val="16"/>
                <w:szCs w:val="16"/>
                <w:lang w:eastAsia="es-GT"/>
              </w:rPr>
              <w:t>Adquisición neta de activos financieros</w:t>
            </w:r>
          </w:p>
        </w:tc>
        <w:tc>
          <w:tcPr>
            <w:tcW w:w="861" w:type="dxa"/>
            <w:tcBorders>
              <w:top w:val="nil"/>
              <w:left w:val="nil"/>
              <w:bottom w:val="nil"/>
              <w:right w:val="nil"/>
            </w:tcBorders>
            <w:shd w:val="clear" w:color="auto" w:fill="auto"/>
            <w:noWrap/>
            <w:vAlign w:val="center"/>
            <w:hideMark/>
          </w:tcPr>
          <w:p w14:paraId="4C850BAD" w14:textId="75979096"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3,434.2</w:t>
            </w:r>
          </w:p>
        </w:tc>
        <w:tc>
          <w:tcPr>
            <w:tcW w:w="861" w:type="dxa"/>
            <w:tcBorders>
              <w:top w:val="nil"/>
              <w:left w:val="nil"/>
              <w:bottom w:val="nil"/>
              <w:right w:val="nil"/>
            </w:tcBorders>
            <w:shd w:val="clear" w:color="auto" w:fill="auto"/>
            <w:noWrap/>
            <w:vAlign w:val="center"/>
            <w:hideMark/>
          </w:tcPr>
          <w:p w14:paraId="271DD44D" w14:textId="61B0E047"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-2,669.7</w:t>
            </w:r>
          </w:p>
        </w:tc>
        <w:tc>
          <w:tcPr>
            <w:tcW w:w="861" w:type="dxa"/>
            <w:tcBorders>
              <w:top w:val="double" w:sz="6" w:space="0" w:color="auto"/>
              <w:left w:val="dotDash" w:sz="4" w:space="0" w:color="auto"/>
              <w:bottom w:val="nil"/>
              <w:right w:val="nil"/>
            </w:tcBorders>
            <w:shd w:val="clear" w:color="auto" w:fill="auto"/>
            <w:noWrap/>
            <w:vAlign w:val="center"/>
            <w:hideMark/>
          </w:tcPr>
          <w:p w14:paraId="3E664964" w14:textId="5B7ADEFE"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-6,103.8</w:t>
            </w:r>
          </w:p>
        </w:tc>
        <w:tc>
          <w:tcPr>
            <w:tcW w:w="906" w:type="dxa"/>
            <w:tcBorders>
              <w:top w:val="nil"/>
              <w:left w:val="nil"/>
              <w:bottom w:val="nil"/>
              <w:right w:val="nil"/>
            </w:tcBorders>
            <w:shd w:val="clear" w:color="auto" w:fill="auto"/>
            <w:noWrap/>
            <w:vAlign w:val="center"/>
            <w:hideMark/>
          </w:tcPr>
          <w:p w14:paraId="751A5CBD" w14:textId="386DC5E7"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-177.7</w:t>
            </w:r>
          </w:p>
        </w:tc>
      </w:tr>
      <w:tr w:rsidR="00021528" w:rsidRPr="0064135E" w14:paraId="006B5F4E" w14:textId="54318C8E" w:rsidTr="007D65EB">
        <w:trPr>
          <w:trHeight w:val="252"/>
          <w:jc w:val="center"/>
        </w:trPr>
        <w:tc>
          <w:tcPr>
            <w:tcW w:w="3164" w:type="dxa"/>
            <w:tcBorders>
              <w:top w:val="nil"/>
              <w:left w:val="nil"/>
              <w:bottom w:val="nil"/>
              <w:right w:val="nil"/>
            </w:tcBorders>
            <w:shd w:val="clear" w:color="auto" w:fill="auto"/>
            <w:noWrap/>
            <w:vAlign w:val="center"/>
            <w:hideMark/>
          </w:tcPr>
          <w:p w14:paraId="24B0906B"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Billetes monedas y depósitos</w:t>
            </w:r>
          </w:p>
        </w:tc>
        <w:tc>
          <w:tcPr>
            <w:tcW w:w="861" w:type="dxa"/>
            <w:tcBorders>
              <w:top w:val="nil"/>
              <w:left w:val="nil"/>
              <w:bottom w:val="nil"/>
              <w:right w:val="nil"/>
            </w:tcBorders>
            <w:shd w:val="clear" w:color="auto" w:fill="auto"/>
            <w:noWrap/>
            <w:vAlign w:val="center"/>
            <w:hideMark/>
          </w:tcPr>
          <w:p w14:paraId="24A10F92" w14:textId="5B67E400"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3,474.4</w:t>
            </w:r>
          </w:p>
        </w:tc>
        <w:tc>
          <w:tcPr>
            <w:tcW w:w="861" w:type="dxa"/>
            <w:tcBorders>
              <w:top w:val="nil"/>
              <w:left w:val="nil"/>
              <w:bottom w:val="nil"/>
              <w:right w:val="nil"/>
            </w:tcBorders>
            <w:shd w:val="clear" w:color="auto" w:fill="auto"/>
            <w:noWrap/>
            <w:vAlign w:val="center"/>
            <w:hideMark/>
          </w:tcPr>
          <w:p w14:paraId="51DF1E71" w14:textId="6C38B429"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-2,615.7</w:t>
            </w:r>
          </w:p>
        </w:tc>
        <w:tc>
          <w:tcPr>
            <w:tcW w:w="861" w:type="dxa"/>
            <w:tcBorders>
              <w:top w:val="nil"/>
              <w:left w:val="dotDash" w:sz="4" w:space="0" w:color="auto"/>
              <w:bottom w:val="nil"/>
              <w:right w:val="nil"/>
            </w:tcBorders>
            <w:shd w:val="clear" w:color="auto" w:fill="auto"/>
            <w:noWrap/>
            <w:vAlign w:val="center"/>
            <w:hideMark/>
          </w:tcPr>
          <w:p w14:paraId="779FBD0C" w14:textId="690EFFDC"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-6,090.0</w:t>
            </w:r>
          </w:p>
        </w:tc>
        <w:tc>
          <w:tcPr>
            <w:tcW w:w="906" w:type="dxa"/>
            <w:tcBorders>
              <w:top w:val="nil"/>
              <w:left w:val="nil"/>
              <w:bottom w:val="nil"/>
              <w:right w:val="nil"/>
            </w:tcBorders>
            <w:shd w:val="clear" w:color="auto" w:fill="auto"/>
            <w:noWrap/>
            <w:vAlign w:val="center"/>
            <w:hideMark/>
          </w:tcPr>
          <w:p w14:paraId="46247A0F" w14:textId="1B732542"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-175.3</w:t>
            </w:r>
          </w:p>
        </w:tc>
      </w:tr>
      <w:tr w:rsidR="00021528" w:rsidRPr="0064135E" w14:paraId="0038A0E3" w14:textId="108CE968" w:rsidTr="007D65EB">
        <w:trPr>
          <w:trHeight w:val="252"/>
          <w:jc w:val="center"/>
        </w:trPr>
        <w:tc>
          <w:tcPr>
            <w:tcW w:w="3164" w:type="dxa"/>
            <w:tcBorders>
              <w:top w:val="nil"/>
              <w:left w:val="nil"/>
              <w:bottom w:val="nil"/>
              <w:right w:val="nil"/>
            </w:tcBorders>
            <w:shd w:val="clear" w:color="auto" w:fill="auto"/>
            <w:noWrap/>
            <w:vAlign w:val="center"/>
            <w:hideMark/>
          </w:tcPr>
          <w:p w14:paraId="3233DC3F"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Préstamos</w:t>
            </w:r>
          </w:p>
        </w:tc>
        <w:tc>
          <w:tcPr>
            <w:tcW w:w="861" w:type="dxa"/>
            <w:tcBorders>
              <w:top w:val="nil"/>
              <w:left w:val="nil"/>
              <w:bottom w:val="nil"/>
              <w:right w:val="nil"/>
            </w:tcBorders>
            <w:shd w:val="clear" w:color="auto" w:fill="auto"/>
            <w:noWrap/>
            <w:vAlign w:val="center"/>
            <w:hideMark/>
          </w:tcPr>
          <w:p w14:paraId="0A953D79" w14:textId="7B9DABF5"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-40.2</w:t>
            </w:r>
          </w:p>
        </w:tc>
        <w:tc>
          <w:tcPr>
            <w:tcW w:w="861" w:type="dxa"/>
            <w:tcBorders>
              <w:top w:val="nil"/>
              <w:left w:val="nil"/>
              <w:bottom w:val="nil"/>
              <w:right w:val="nil"/>
            </w:tcBorders>
            <w:shd w:val="clear" w:color="auto" w:fill="auto"/>
            <w:noWrap/>
            <w:vAlign w:val="center"/>
            <w:hideMark/>
          </w:tcPr>
          <w:p w14:paraId="1A640F1B" w14:textId="69BCF0F6"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-54.0</w:t>
            </w:r>
          </w:p>
        </w:tc>
        <w:tc>
          <w:tcPr>
            <w:tcW w:w="861" w:type="dxa"/>
            <w:tcBorders>
              <w:top w:val="nil"/>
              <w:left w:val="dotDash" w:sz="4" w:space="0" w:color="auto"/>
              <w:bottom w:val="nil"/>
              <w:right w:val="nil"/>
            </w:tcBorders>
            <w:shd w:val="clear" w:color="auto" w:fill="auto"/>
            <w:noWrap/>
            <w:vAlign w:val="center"/>
            <w:hideMark/>
          </w:tcPr>
          <w:p w14:paraId="0BA44D39" w14:textId="74BBF589"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-13.8</w:t>
            </w:r>
          </w:p>
        </w:tc>
        <w:tc>
          <w:tcPr>
            <w:tcW w:w="906" w:type="dxa"/>
            <w:tcBorders>
              <w:top w:val="nil"/>
              <w:left w:val="nil"/>
              <w:bottom w:val="nil"/>
              <w:right w:val="nil"/>
            </w:tcBorders>
            <w:shd w:val="clear" w:color="auto" w:fill="auto"/>
            <w:noWrap/>
            <w:vAlign w:val="center"/>
            <w:hideMark/>
          </w:tcPr>
          <w:p w14:paraId="39334DB3" w14:textId="27BEC01E"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34.3</w:t>
            </w:r>
          </w:p>
        </w:tc>
      </w:tr>
      <w:tr w:rsidR="00021528" w:rsidRPr="0064135E" w14:paraId="6BBF7F75" w14:textId="584F1C32" w:rsidTr="007D65EB">
        <w:trPr>
          <w:trHeight w:val="252"/>
          <w:jc w:val="center"/>
        </w:trPr>
        <w:tc>
          <w:tcPr>
            <w:tcW w:w="3164" w:type="dxa"/>
            <w:tcBorders>
              <w:top w:val="nil"/>
              <w:left w:val="nil"/>
              <w:bottom w:val="nil"/>
              <w:right w:val="nil"/>
            </w:tcBorders>
            <w:shd w:val="clear" w:color="auto" w:fill="auto"/>
            <w:noWrap/>
            <w:vAlign w:val="center"/>
            <w:hideMark/>
          </w:tcPr>
          <w:p w14:paraId="1780DFF6"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Otros</w:t>
            </w:r>
          </w:p>
        </w:tc>
        <w:tc>
          <w:tcPr>
            <w:tcW w:w="861" w:type="dxa"/>
            <w:tcBorders>
              <w:top w:val="nil"/>
              <w:left w:val="nil"/>
              <w:bottom w:val="nil"/>
              <w:right w:val="nil"/>
            </w:tcBorders>
            <w:shd w:val="clear" w:color="auto" w:fill="auto"/>
            <w:noWrap/>
            <w:vAlign w:val="center"/>
            <w:hideMark/>
          </w:tcPr>
          <w:p w14:paraId="461C9C63" w14:textId="4AD74A2B"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0.00</w:t>
            </w:r>
          </w:p>
        </w:tc>
        <w:tc>
          <w:tcPr>
            <w:tcW w:w="861" w:type="dxa"/>
            <w:tcBorders>
              <w:top w:val="nil"/>
              <w:left w:val="nil"/>
              <w:bottom w:val="nil"/>
              <w:right w:val="nil"/>
            </w:tcBorders>
            <w:shd w:val="clear" w:color="auto" w:fill="auto"/>
            <w:noWrap/>
            <w:vAlign w:val="center"/>
            <w:hideMark/>
          </w:tcPr>
          <w:p w14:paraId="52A856C4" w14:textId="3BB3D999"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0.0</w:t>
            </w:r>
          </w:p>
        </w:tc>
        <w:tc>
          <w:tcPr>
            <w:tcW w:w="861" w:type="dxa"/>
            <w:tcBorders>
              <w:top w:val="nil"/>
              <w:left w:val="dotDash" w:sz="4" w:space="0" w:color="auto"/>
              <w:bottom w:val="nil"/>
              <w:right w:val="nil"/>
            </w:tcBorders>
            <w:shd w:val="clear" w:color="auto" w:fill="auto"/>
            <w:noWrap/>
            <w:vAlign w:val="center"/>
            <w:hideMark/>
          </w:tcPr>
          <w:p w14:paraId="1F15703A" w14:textId="51EEB0FD"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0.0</w:t>
            </w:r>
          </w:p>
        </w:tc>
        <w:tc>
          <w:tcPr>
            <w:tcW w:w="906" w:type="dxa"/>
            <w:tcBorders>
              <w:top w:val="nil"/>
              <w:left w:val="nil"/>
              <w:bottom w:val="nil"/>
              <w:right w:val="nil"/>
            </w:tcBorders>
            <w:shd w:val="clear" w:color="auto" w:fill="auto"/>
            <w:noWrap/>
            <w:vAlign w:val="center"/>
            <w:hideMark/>
          </w:tcPr>
          <w:p w14:paraId="147F1E71" w14:textId="61AB2102"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257.6</w:t>
            </w:r>
          </w:p>
        </w:tc>
      </w:tr>
      <w:tr w:rsidR="00021528" w:rsidRPr="0064135E" w14:paraId="2C6A1243" w14:textId="2211AC3B" w:rsidTr="007D65EB">
        <w:trPr>
          <w:trHeight w:val="252"/>
          <w:jc w:val="center"/>
        </w:trPr>
        <w:tc>
          <w:tcPr>
            <w:tcW w:w="3164" w:type="dxa"/>
            <w:tcBorders>
              <w:top w:val="nil"/>
              <w:left w:val="nil"/>
              <w:bottom w:val="nil"/>
              <w:right w:val="nil"/>
            </w:tcBorders>
            <w:shd w:val="clear" w:color="auto" w:fill="auto"/>
            <w:noWrap/>
            <w:vAlign w:val="center"/>
            <w:hideMark/>
          </w:tcPr>
          <w:p w14:paraId="2C89A45D" w14:textId="77777777" w:rsidR="00021528" w:rsidRPr="0064135E" w:rsidRDefault="00021528" w:rsidP="00021528">
            <w:pPr>
              <w:rPr>
                <w:rFonts w:eastAsia="Times New Roman" w:cs="Times New Roman"/>
                <w:b/>
                <w:bCs/>
                <w:color w:val="000000"/>
                <w:sz w:val="16"/>
                <w:szCs w:val="16"/>
                <w:lang w:eastAsia="es-GT"/>
              </w:rPr>
            </w:pPr>
            <w:r w:rsidRPr="0064135E">
              <w:rPr>
                <w:rFonts w:eastAsia="Times New Roman" w:cs="Times New Roman"/>
                <w:b/>
                <w:bCs/>
                <w:color w:val="000000"/>
                <w:sz w:val="16"/>
                <w:szCs w:val="16"/>
                <w:lang w:eastAsia="es-GT"/>
              </w:rPr>
              <w:t>Incurrimiento neto de pasivos</w:t>
            </w:r>
          </w:p>
        </w:tc>
        <w:tc>
          <w:tcPr>
            <w:tcW w:w="861" w:type="dxa"/>
            <w:tcBorders>
              <w:top w:val="nil"/>
              <w:left w:val="nil"/>
              <w:bottom w:val="nil"/>
              <w:right w:val="nil"/>
            </w:tcBorders>
            <w:shd w:val="clear" w:color="auto" w:fill="auto"/>
            <w:noWrap/>
            <w:vAlign w:val="center"/>
            <w:hideMark/>
          </w:tcPr>
          <w:p w14:paraId="37735D2D" w14:textId="09107A4C"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9,181.2</w:t>
            </w:r>
          </w:p>
        </w:tc>
        <w:tc>
          <w:tcPr>
            <w:tcW w:w="861" w:type="dxa"/>
            <w:tcBorders>
              <w:top w:val="nil"/>
              <w:left w:val="nil"/>
              <w:bottom w:val="nil"/>
              <w:right w:val="nil"/>
            </w:tcBorders>
            <w:shd w:val="clear" w:color="auto" w:fill="auto"/>
            <w:noWrap/>
            <w:vAlign w:val="center"/>
            <w:hideMark/>
          </w:tcPr>
          <w:p w14:paraId="5FCA5592" w14:textId="56EE23A0"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4,052.8</w:t>
            </w:r>
          </w:p>
        </w:tc>
        <w:tc>
          <w:tcPr>
            <w:tcW w:w="861" w:type="dxa"/>
            <w:tcBorders>
              <w:top w:val="nil"/>
              <w:left w:val="dotDash" w:sz="4" w:space="0" w:color="auto"/>
              <w:bottom w:val="nil"/>
              <w:right w:val="nil"/>
            </w:tcBorders>
            <w:shd w:val="clear" w:color="auto" w:fill="auto"/>
            <w:noWrap/>
            <w:vAlign w:val="center"/>
            <w:hideMark/>
          </w:tcPr>
          <w:p w14:paraId="7041B427" w14:textId="1DE5A9B2"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-5,128.4</w:t>
            </w:r>
          </w:p>
        </w:tc>
        <w:tc>
          <w:tcPr>
            <w:tcW w:w="906" w:type="dxa"/>
            <w:tcBorders>
              <w:top w:val="nil"/>
              <w:left w:val="nil"/>
              <w:bottom w:val="nil"/>
              <w:right w:val="nil"/>
            </w:tcBorders>
            <w:shd w:val="clear" w:color="auto" w:fill="auto"/>
            <w:noWrap/>
            <w:vAlign w:val="center"/>
            <w:hideMark/>
          </w:tcPr>
          <w:p w14:paraId="23A92E83" w14:textId="722C1FEA"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-55.9</w:t>
            </w:r>
          </w:p>
        </w:tc>
      </w:tr>
      <w:tr w:rsidR="00021528" w:rsidRPr="0064135E" w14:paraId="105BB5D5" w14:textId="36CC9054" w:rsidTr="007D65EB">
        <w:trPr>
          <w:trHeight w:val="252"/>
          <w:jc w:val="center"/>
        </w:trPr>
        <w:tc>
          <w:tcPr>
            <w:tcW w:w="3164" w:type="dxa"/>
            <w:tcBorders>
              <w:top w:val="nil"/>
              <w:left w:val="nil"/>
              <w:bottom w:val="nil"/>
              <w:right w:val="nil"/>
            </w:tcBorders>
            <w:shd w:val="clear" w:color="auto" w:fill="auto"/>
            <w:noWrap/>
            <w:vAlign w:val="center"/>
            <w:hideMark/>
          </w:tcPr>
          <w:p w14:paraId="7C4B506E"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Títulos de deuda</w:t>
            </w:r>
          </w:p>
        </w:tc>
        <w:tc>
          <w:tcPr>
            <w:tcW w:w="861" w:type="dxa"/>
            <w:tcBorders>
              <w:top w:val="nil"/>
              <w:left w:val="nil"/>
              <w:bottom w:val="nil"/>
              <w:right w:val="nil"/>
            </w:tcBorders>
            <w:shd w:val="clear" w:color="auto" w:fill="auto"/>
            <w:noWrap/>
            <w:vAlign w:val="center"/>
            <w:hideMark/>
          </w:tcPr>
          <w:p w14:paraId="70597FB9" w14:textId="7608B3D4"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6,838.7</w:t>
            </w:r>
          </w:p>
        </w:tc>
        <w:tc>
          <w:tcPr>
            <w:tcW w:w="861" w:type="dxa"/>
            <w:tcBorders>
              <w:top w:val="nil"/>
              <w:left w:val="nil"/>
              <w:bottom w:val="nil"/>
              <w:right w:val="nil"/>
            </w:tcBorders>
            <w:shd w:val="clear" w:color="auto" w:fill="auto"/>
            <w:noWrap/>
            <w:vAlign w:val="center"/>
            <w:hideMark/>
          </w:tcPr>
          <w:p w14:paraId="3485CE79" w14:textId="42EED068"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5,258.1</w:t>
            </w:r>
          </w:p>
        </w:tc>
        <w:tc>
          <w:tcPr>
            <w:tcW w:w="861" w:type="dxa"/>
            <w:tcBorders>
              <w:top w:val="nil"/>
              <w:left w:val="dotDash" w:sz="4" w:space="0" w:color="auto"/>
              <w:bottom w:val="nil"/>
              <w:right w:val="nil"/>
            </w:tcBorders>
            <w:shd w:val="clear" w:color="auto" w:fill="auto"/>
            <w:noWrap/>
            <w:vAlign w:val="center"/>
            <w:hideMark/>
          </w:tcPr>
          <w:p w14:paraId="0C4ED1F3" w14:textId="3B5A590B"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-1,580.6</w:t>
            </w:r>
          </w:p>
        </w:tc>
        <w:tc>
          <w:tcPr>
            <w:tcW w:w="906" w:type="dxa"/>
            <w:tcBorders>
              <w:top w:val="nil"/>
              <w:left w:val="nil"/>
              <w:bottom w:val="nil"/>
              <w:right w:val="nil"/>
            </w:tcBorders>
            <w:shd w:val="clear" w:color="auto" w:fill="auto"/>
            <w:noWrap/>
            <w:vAlign w:val="center"/>
            <w:hideMark/>
          </w:tcPr>
          <w:p w14:paraId="46D91086" w14:textId="4C1DB9D6"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-23.1</w:t>
            </w:r>
          </w:p>
        </w:tc>
      </w:tr>
      <w:tr w:rsidR="00021528" w:rsidRPr="0064135E" w14:paraId="0146A179" w14:textId="1D0C2587" w:rsidTr="007D65EB">
        <w:trPr>
          <w:trHeight w:val="252"/>
          <w:jc w:val="center"/>
        </w:trPr>
        <w:tc>
          <w:tcPr>
            <w:tcW w:w="3164" w:type="dxa"/>
            <w:tcBorders>
              <w:top w:val="nil"/>
              <w:left w:val="nil"/>
              <w:bottom w:val="nil"/>
              <w:right w:val="nil"/>
            </w:tcBorders>
            <w:shd w:val="clear" w:color="auto" w:fill="auto"/>
            <w:noWrap/>
            <w:vAlign w:val="center"/>
            <w:hideMark/>
          </w:tcPr>
          <w:p w14:paraId="295B54FE"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Préstamos</w:t>
            </w:r>
          </w:p>
        </w:tc>
        <w:tc>
          <w:tcPr>
            <w:tcW w:w="861" w:type="dxa"/>
            <w:tcBorders>
              <w:top w:val="nil"/>
              <w:left w:val="nil"/>
              <w:bottom w:val="nil"/>
              <w:right w:val="nil"/>
            </w:tcBorders>
            <w:shd w:val="clear" w:color="auto" w:fill="auto"/>
            <w:noWrap/>
            <w:vAlign w:val="center"/>
            <w:hideMark/>
          </w:tcPr>
          <w:p w14:paraId="2FD858FC" w14:textId="5F957912"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2,296.0</w:t>
            </w:r>
          </w:p>
        </w:tc>
        <w:tc>
          <w:tcPr>
            <w:tcW w:w="861" w:type="dxa"/>
            <w:tcBorders>
              <w:top w:val="nil"/>
              <w:left w:val="nil"/>
              <w:bottom w:val="nil"/>
              <w:right w:val="nil"/>
            </w:tcBorders>
            <w:shd w:val="clear" w:color="auto" w:fill="auto"/>
            <w:noWrap/>
            <w:vAlign w:val="center"/>
            <w:hideMark/>
          </w:tcPr>
          <w:p w14:paraId="19DA84AE" w14:textId="6C31984C"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-1,136.7</w:t>
            </w:r>
          </w:p>
        </w:tc>
        <w:tc>
          <w:tcPr>
            <w:tcW w:w="861" w:type="dxa"/>
            <w:tcBorders>
              <w:top w:val="nil"/>
              <w:left w:val="dotDash" w:sz="4" w:space="0" w:color="auto"/>
              <w:bottom w:val="nil"/>
              <w:right w:val="nil"/>
            </w:tcBorders>
            <w:shd w:val="clear" w:color="auto" w:fill="auto"/>
            <w:noWrap/>
            <w:vAlign w:val="center"/>
            <w:hideMark/>
          </w:tcPr>
          <w:p w14:paraId="6F20C579" w14:textId="05EB9A0A"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-3,432.6</w:t>
            </w:r>
          </w:p>
        </w:tc>
        <w:tc>
          <w:tcPr>
            <w:tcW w:w="906" w:type="dxa"/>
            <w:tcBorders>
              <w:top w:val="nil"/>
              <w:left w:val="nil"/>
              <w:bottom w:val="nil"/>
              <w:right w:val="nil"/>
            </w:tcBorders>
            <w:shd w:val="clear" w:color="auto" w:fill="auto"/>
            <w:noWrap/>
            <w:vAlign w:val="center"/>
            <w:hideMark/>
          </w:tcPr>
          <w:p w14:paraId="5744B0FC" w14:textId="090902DF"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-149.5</w:t>
            </w:r>
          </w:p>
        </w:tc>
      </w:tr>
      <w:tr w:rsidR="00021528" w:rsidRPr="0064135E" w14:paraId="53DE527D" w14:textId="1AEB5FC3" w:rsidTr="007D65EB">
        <w:trPr>
          <w:trHeight w:val="252"/>
          <w:jc w:val="center"/>
        </w:trPr>
        <w:tc>
          <w:tcPr>
            <w:tcW w:w="3164" w:type="dxa"/>
            <w:tcBorders>
              <w:top w:val="nil"/>
              <w:left w:val="nil"/>
              <w:bottom w:val="nil"/>
              <w:right w:val="nil"/>
            </w:tcBorders>
            <w:shd w:val="clear" w:color="auto" w:fill="auto"/>
            <w:noWrap/>
            <w:vAlign w:val="center"/>
            <w:hideMark/>
          </w:tcPr>
          <w:p w14:paraId="0DAD3DFB" w14:textId="77777777" w:rsidR="00021528" w:rsidRPr="0064135E" w:rsidRDefault="00021528" w:rsidP="00021528">
            <w:pPr>
              <w:ind w:firstLineChars="100" w:firstLine="160"/>
              <w:jc w:val="left"/>
              <w:rPr>
                <w:rFonts w:eastAsia="Times New Roman" w:cs="Times New Roman"/>
                <w:color w:val="000000"/>
                <w:sz w:val="16"/>
                <w:szCs w:val="16"/>
                <w:lang w:eastAsia="es-GT"/>
              </w:rPr>
            </w:pPr>
            <w:r w:rsidRPr="0064135E">
              <w:rPr>
                <w:rFonts w:eastAsia="Times New Roman" w:cs="Times New Roman"/>
                <w:color w:val="000000"/>
                <w:sz w:val="16"/>
                <w:szCs w:val="16"/>
                <w:lang w:eastAsia="es-GT"/>
              </w:rPr>
              <w:t>Otros</w:t>
            </w:r>
          </w:p>
        </w:tc>
        <w:tc>
          <w:tcPr>
            <w:tcW w:w="861" w:type="dxa"/>
            <w:tcBorders>
              <w:top w:val="nil"/>
              <w:left w:val="nil"/>
              <w:bottom w:val="nil"/>
              <w:right w:val="nil"/>
            </w:tcBorders>
            <w:shd w:val="clear" w:color="auto" w:fill="auto"/>
            <w:noWrap/>
            <w:vAlign w:val="center"/>
            <w:hideMark/>
          </w:tcPr>
          <w:p w14:paraId="4A2F814E" w14:textId="10346156"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46.6</w:t>
            </w:r>
          </w:p>
        </w:tc>
        <w:tc>
          <w:tcPr>
            <w:tcW w:w="861" w:type="dxa"/>
            <w:tcBorders>
              <w:top w:val="nil"/>
              <w:left w:val="nil"/>
              <w:bottom w:val="nil"/>
              <w:right w:val="nil"/>
            </w:tcBorders>
            <w:shd w:val="clear" w:color="auto" w:fill="auto"/>
            <w:noWrap/>
            <w:vAlign w:val="center"/>
            <w:hideMark/>
          </w:tcPr>
          <w:p w14:paraId="1B805861" w14:textId="02BA33ED"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-68.6</w:t>
            </w:r>
          </w:p>
        </w:tc>
        <w:tc>
          <w:tcPr>
            <w:tcW w:w="861" w:type="dxa"/>
            <w:tcBorders>
              <w:top w:val="nil"/>
              <w:left w:val="dotDash" w:sz="4" w:space="0" w:color="auto"/>
              <w:bottom w:val="nil"/>
              <w:right w:val="nil"/>
            </w:tcBorders>
            <w:shd w:val="clear" w:color="auto" w:fill="auto"/>
            <w:noWrap/>
            <w:vAlign w:val="center"/>
            <w:hideMark/>
          </w:tcPr>
          <w:p w14:paraId="25CB4487" w14:textId="4C7EC104"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-115.1</w:t>
            </w:r>
          </w:p>
        </w:tc>
        <w:tc>
          <w:tcPr>
            <w:tcW w:w="906" w:type="dxa"/>
            <w:tcBorders>
              <w:top w:val="nil"/>
              <w:left w:val="nil"/>
              <w:bottom w:val="nil"/>
              <w:right w:val="nil"/>
            </w:tcBorders>
            <w:shd w:val="clear" w:color="auto" w:fill="auto"/>
            <w:noWrap/>
            <w:vAlign w:val="center"/>
            <w:hideMark/>
          </w:tcPr>
          <w:p w14:paraId="0210A6DE" w14:textId="123491BB" w:rsidR="00021528" w:rsidRPr="0064135E" w:rsidRDefault="00021528" w:rsidP="00021528">
            <w:pPr>
              <w:jc w:val="center"/>
              <w:rPr>
                <w:rFonts w:eastAsia="Times New Roman" w:cs="Times New Roman"/>
                <w:color w:val="000000"/>
                <w:sz w:val="16"/>
                <w:szCs w:val="16"/>
                <w:lang w:eastAsia="es-GT"/>
              </w:rPr>
            </w:pPr>
            <w:r w:rsidRPr="0064135E">
              <w:rPr>
                <w:color w:val="000000"/>
                <w:sz w:val="16"/>
                <w:szCs w:val="16"/>
              </w:rPr>
              <w:t>-247.3</w:t>
            </w:r>
          </w:p>
        </w:tc>
      </w:tr>
      <w:tr w:rsidR="00021528" w:rsidRPr="0064135E" w14:paraId="2B640124" w14:textId="4FB54084" w:rsidTr="007D65EB">
        <w:trPr>
          <w:trHeight w:val="252"/>
          <w:jc w:val="center"/>
        </w:trPr>
        <w:tc>
          <w:tcPr>
            <w:tcW w:w="3164" w:type="dxa"/>
            <w:tcBorders>
              <w:top w:val="nil"/>
              <w:left w:val="nil"/>
              <w:bottom w:val="nil"/>
              <w:right w:val="nil"/>
            </w:tcBorders>
            <w:shd w:val="clear" w:color="auto" w:fill="auto"/>
            <w:noWrap/>
            <w:vAlign w:val="center"/>
            <w:hideMark/>
          </w:tcPr>
          <w:p w14:paraId="130F55F7" w14:textId="77777777" w:rsidR="00021528" w:rsidRPr="0064135E" w:rsidRDefault="00021528" w:rsidP="00021528">
            <w:pPr>
              <w:rPr>
                <w:rFonts w:eastAsia="Times New Roman" w:cs="Times New Roman"/>
                <w:b/>
                <w:bCs/>
                <w:color w:val="000000"/>
                <w:sz w:val="16"/>
                <w:szCs w:val="16"/>
                <w:lang w:eastAsia="es-GT"/>
              </w:rPr>
            </w:pPr>
            <w:r w:rsidRPr="0064135E">
              <w:rPr>
                <w:rFonts w:eastAsia="Times New Roman" w:cs="Times New Roman"/>
                <w:b/>
                <w:bCs/>
                <w:color w:val="000000"/>
                <w:sz w:val="16"/>
                <w:szCs w:val="16"/>
                <w:lang w:eastAsia="es-GT"/>
              </w:rPr>
              <w:t>Discrepancia estadística global</w:t>
            </w:r>
          </w:p>
        </w:tc>
        <w:tc>
          <w:tcPr>
            <w:tcW w:w="861" w:type="dxa"/>
            <w:tcBorders>
              <w:top w:val="nil"/>
              <w:left w:val="nil"/>
              <w:bottom w:val="nil"/>
              <w:right w:val="nil"/>
            </w:tcBorders>
            <w:shd w:val="clear" w:color="auto" w:fill="auto"/>
            <w:noWrap/>
            <w:vAlign w:val="center"/>
            <w:hideMark/>
          </w:tcPr>
          <w:p w14:paraId="4E6192F6" w14:textId="4DDE99BF"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-1,302.6</w:t>
            </w:r>
          </w:p>
        </w:tc>
        <w:tc>
          <w:tcPr>
            <w:tcW w:w="861" w:type="dxa"/>
            <w:tcBorders>
              <w:top w:val="nil"/>
              <w:left w:val="nil"/>
              <w:bottom w:val="nil"/>
              <w:right w:val="nil"/>
            </w:tcBorders>
            <w:shd w:val="clear" w:color="auto" w:fill="auto"/>
            <w:noWrap/>
            <w:vAlign w:val="center"/>
            <w:hideMark/>
          </w:tcPr>
          <w:p w14:paraId="104FC3FB" w14:textId="446446E5"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146.8</w:t>
            </w:r>
          </w:p>
        </w:tc>
        <w:tc>
          <w:tcPr>
            <w:tcW w:w="861" w:type="dxa"/>
            <w:tcBorders>
              <w:top w:val="nil"/>
              <w:left w:val="dotDash" w:sz="4" w:space="0" w:color="auto"/>
              <w:bottom w:val="nil"/>
              <w:right w:val="nil"/>
            </w:tcBorders>
            <w:shd w:val="clear" w:color="auto" w:fill="auto"/>
            <w:noWrap/>
            <w:vAlign w:val="center"/>
            <w:hideMark/>
          </w:tcPr>
          <w:p w14:paraId="5F1E3B24" w14:textId="70ED0EB6"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1,449.4</w:t>
            </w:r>
          </w:p>
        </w:tc>
        <w:tc>
          <w:tcPr>
            <w:tcW w:w="906" w:type="dxa"/>
            <w:tcBorders>
              <w:top w:val="nil"/>
              <w:left w:val="nil"/>
              <w:bottom w:val="nil"/>
              <w:right w:val="nil"/>
            </w:tcBorders>
            <w:shd w:val="clear" w:color="auto" w:fill="auto"/>
            <w:noWrap/>
            <w:vAlign w:val="center"/>
            <w:hideMark/>
          </w:tcPr>
          <w:p w14:paraId="25CFAE72" w14:textId="1260C9DE" w:rsidR="00021528" w:rsidRPr="0064135E" w:rsidRDefault="00021528" w:rsidP="00021528">
            <w:pPr>
              <w:jc w:val="center"/>
              <w:rPr>
                <w:rFonts w:eastAsia="Times New Roman" w:cs="Times New Roman"/>
                <w:b/>
                <w:bCs/>
                <w:color w:val="000000"/>
                <w:sz w:val="16"/>
                <w:szCs w:val="16"/>
                <w:lang w:eastAsia="es-GT"/>
              </w:rPr>
            </w:pPr>
            <w:r w:rsidRPr="0064135E">
              <w:rPr>
                <w:b/>
                <w:bCs/>
                <w:color w:val="000000"/>
                <w:sz w:val="16"/>
                <w:szCs w:val="16"/>
              </w:rPr>
              <w:t>-111.3</w:t>
            </w:r>
          </w:p>
        </w:tc>
      </w:tr>
    </w:tbl>
    <w:p w14:paraId="3350F89B" w14:textId="7F5F675D" w:rsidR="003C303F" w:rsidRPr="0064135E" w:rsidRDefault="003C303F" w:rsidP="00BB2FE3">
      <w:pPr>
        <w:ind w:left="709" w:firstLine="708"/>
        <w:rPr>
          <w:rFonts w:cs="Times New Roman"/>
          <w:sz w:val="16"/>
          <w:szCs w:val="22"/>
          <w:lang w:val="es-MX"/>
        </w:rPr>
      </w:pPr>
      <w:r w:rsidRPr="0064135E">
        <w:rPr>
          <w:rFonts w:cs="Times New Roman"/>
          <w:sz w:val="16"/>
          <w:szCs w:val="22"/>
          <w:lang w:val="es-MX"/>
        </w:rPr>
        <w:t>*Cifras preliminares</w:t>
      </w:r>
    </w:p>
    <w:p w14:paraId="445E1632" w14:textId="77777777" w:rsidR="003C303F" w:rsidRDefault="003C303F" w:rsidP="00BB2FE3">
      <w:pPr>
        <w:ind w:left="709" w:firstLine="708"/>
        <w:rPr>
          <w:rFonts w:cs="Times New Roman"/>
          <w:sz w:val="16"/>
          <w:szCs w:val="22"/>
          <w:lang w:val="es-MX"/>
        </w:rPr>
      </w:pPr>
      <w:r w:rsidRPr="0064135E">
        <w:rPr>
          <w:rFonts w:cs="Times New Roman"/>
          <w:sz w:val="16"/>
          <w:szCs w:val="22"/>
          <w:lang w:val="es-MX"/>
        </w:rPr>
        <w:t>Fuente: MINFIN</w:t>
      </w:r>
    </w:p>
    <w:p w14:paraId="6886455E" w14:textId="77777777" w:rsidR="006939D7" w:rsidRPr="00BF230D" w:rsidRDefault="006939D7" w:rsidP="007105EE">
      <w:pPr>
        <w:ind w:left="1134"/>
        <w:rPr>
          <w:rFonts w:cs="Times New Roman"/>
          <w:sz w:val="16"/>
          <w:szCs w:val="22"/>
          <w:lang w:val="es-MX"/>
        </w:rPr>
      </w:pPr>
    </w:p>
    <w:sectPr w:rsidR="006939D7" w:rsidRPr="00BF230D" w:rsidSect="007A7DB2">
      <w:headerReference w:type="default" r:id="rId46"/>
      <w:footerReference w:type="default" r:id="rId47"/>
      <w:headerReference w:type="first" r:id="rId48"/>
      <w:footerReference w:type="first" r:id="rId49"/>
      <w:type w:val="continuous"/>
      <w:pgSz w:w="12240" w:h="15840" w:code="1"/>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517D1" w14:textId="77777777" w:rsidR="007A7DB2" w:rsidRDefault="007A7DB2" w:rsidP="000B5E1C">
      <w:r>
        <w:separator/>
      </w:r>
    </w:p>
  </w:endnote>
  <w:endnote w:type="continuationSeparator" w:id="0">
    <w:p w14:paraId="19510114" w14:textId="77777777" w:rsidR="007A7DB2" w:rsidRDefault="007A7DB2" w:rsidP="000B5E1C">
      <w:r>
        <w:continuationSeparator/>
      </w:r>
    </w:p>
  </w:endnote>
  <w:endnote w:type="continuationNotice" w:id="1">
    <w:p w14:paraId="308EA9FC" w14:textId="77777777" w:rsidR="007A7DB2" w:rsidRDefault="007A7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i/>
        <w:color w:val="1F497D" w:themeColor="text2"/>
        <w:lang w:val="es-ES"/>
      </w:rPr>
      <w:id w:val="1089358670"/>
      <w:docPartObj>
        <w:docPartGallery w:val="Page Numbers (Bottom of Page)"/>
        <w:docPartUnique/>
      </w:docPartObj>
    </w:sdtPr>
    <w:sdtContent>
      <w:p w14:paraId="040AFEF9" w14:textId="77777777" w:rsidR="000A5B5B" w:rsidRPr="00AC45C7" w:rsidRDefault="000A5B5B">
        <w:pPr>
          <w:pStyle w:val="Piedepgina"/>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0" behindDoc="0" locked="0" layoutInCell="1" allowOverlap="1" wp14:anchorId="1B4743A9" wp14:editId="17FB757A">
                  <wp:simplePos x="0" y="0"/>
                  <wp:positionH relativeFrom="column">
                    <wp:posOffset>77580</wp:posOffset>
                  </wp:positionH>
                  <wp:positionV relativeFrom="paragraph">
                    <wp:posOffset>-58006</wp:posOffset>
                  </wp:positionV>
                  <wp:extent cx="6027089" cy="47708"/>
                  <wp:effectExtent l="0" t="0" r="12065" b="28575"/>
                  <wp:wrapNone/>
                  <wp:docPr id="43" name="43 Rectángulo"/>
                  <wp:cNvGraphicFramePr/>
                  <a:graphic xmlns:a="http://schemas.openxmlformats.org/drawingml/2006/main">
                    <a:graphicData uri="http://schemas.microsoft.com/office/word/2010/wordprocessingShape">
                      <wps:wsp>
                        <wps:cNvSpPr/>
                        <wps:spPr>
                          <a:xfrm>
                            <a:off x="0" y="0"/>
                            <a:ext cx="6027089" cy="47708"/>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DE6A6D" id="43 Rectángulo" o:spid="_x0000_s1026" style="position:absolute;margin-left:6.1pt;margin-top:-4.55pt;width:474.55pt;height: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" fillcolor="#8aabd3 [2132]" strokeweight="2pt">
                  <v:fill color2="#f2f2f2 [3052]" rotate="t" angle="90" colors="0 #9ab5e4;50463f #c2d1ed;58327f #e1e8f5;64881f #f2f2f2" focus="100%" type="gradient">
                    <o:fill v:ext="view" type="gradientUnscaled"/>
                  </v:fill>
                </v:rect>
              </w:pict>
            </mc:Fallback>
          </mc:AlternateContent>
        </w:r>
        <w:r w:rsidRPr="00AC45C7">
          <w:rPr>
            <w:rFonts w:cs="Times New Roman"/>
            <w:i/>
            <w:color w:val="1F497D" w:themeColor="text2"/>
            <w:lang w:val="es-ES"/>
          </w:rPr>
          <w:t xml:space="preserve">Página | </w:t>
        </w:r>
        <w:r w:rsidRPr="00AC45C7">
          <w:rPr>
            <w:rFonts w:cs="Times New Roman"/>
            <w:i/>
            <w:color w:val="1F497D" w:themeColor="text2"/>
          </w:rPr>
          <w:fldChar w:fldCharType="begin"/>
        </w:r>
        <w:r w:rsidRPr="00AC45C7">
          <w:rPr>
            <w:rFonts w:cs="Times New Roman"/>
            <w:i/>
            <w:color w:val="1F497D" w:themeColor="text2"/>
          </w:rPr>
          <w:instrText>PAGE   \* MERGEFORMAT</w:instrText>
        </w:r>
        <w:r w:rsidRPr="00AC45C7">
          <w:rPr>
            <w:rFonts w:cs="Times New Roman"/>
            <w:i/>
            <w:color w:val="1F497D" w:themeColor="text2"/>
          </w:rPr>
          <w:fldChar w:fldCharType="separate"/>
        </w:r>
        <w:r w:rsidR="004A5583" w:rsidRPr="004A5583">
          <w:rPr>
            <w:rFonts w:cs="Times New Roman"/>
            <w:i/>
            <w:noProof/>
            <w:color w:val="1F497D" w:themeColor="text2"/>
            <w:lang w:val="es-ES"/>
          </w:rPr>
          <w:t>11</w:t>
        </w:r>
        <w:r w:rsidRPr="00AC45C7">
          <w:rPr>
            <w:rFonts w:cs="Times New Roman"/>
            <w:i/>
            <w:color w:val="1F497D" w:themeColor="text2"/>
          </w:rPr>
          <w:fldChar w:fldCharType="end"/>
        </w:r>
        <w:r w:rsidRPr="00AC45C7">
          <w:rPr>
            <w:rFonts w:cs="Times New Roman"/>
            <w:i/>
            <w:color w:val="1F497D" w:themeColor="text2"/>
            <w:lang w:val="es-ES"/>
          </w:rPr>
          <w:t xml:space="preserve"> </w:t>
        </w:r>
      </w:p>
    </w:sdtContent>
  </w:sdt>
  <w:p w14:paraId="34E4454A" w14:textId="383A31C3" w:rsidR="000A5B5B" w:rsidRPr="00D5619D" w:rsidRDefault="0022750D" w:rsidP="003813F7">
    <w:pPr>
      <w:pStyle w:val="Piedepgina"/>
      <w:tabs>
        <w:tab w:val="clear" w:pos="8838"/>
        <w:tab w:val="left" w:pos="5173"/>
      </w:tabs>
      <w:rPr>
        <w:rFonts w:cs="Times New Roman"/>
        <w:i/>
        <w:color w:val="1F497D" w:themeColor="text2"/>
      </w:rPr>
    </w:pPr>
    <w:r>
      <w:rPr>
        <w:noProof/>
      </w:rPr>
      <w:drawing>
        <wp:anchor distT="0" distB="0" distL="114300" distR="114300" simplePos="0" relativeHeight="251660290" behindDoc="1" locked="0" layoutInCell="1" allowOverlap="1" wp14:anchorId="7D7C2533" wp14:editId="61BA7BB3">
          <wp:simplePos x="0" y="0"/>
          <wp:positionH relativeFrom="column">
            <wp:posOffset>-204717</wp:posOffset>
          </wp:positionH>
          <wp:positionV relativeFrom="paragraph">
            <wp:posOffset>678313</wp:posOffset>
          </wp:positionV>
          <wp:extent cx="2064385" cy="108394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064385" cy="1083945"/>
                  </a:xfrm>
                  <a:prstGeom prst="rect">
                    <a:avLst/>
                  </a:prstGeom>
                </pic:spPr>
              </pic:pic>
            </a:graphicData>
          </a:graphic>
          <wp14:sizeRelH relativeFrom="page">
            <wp14:pctWidth>0</wp14:pctWidth>
          </wp14:sizeRelH>
          <wp14:sizeRelV relativeFrom="page">
            <wp14:pctHeight>0</wp14:pctHeight>
          </wp14:sizeRelV>
        </wp:anchor>
      </w:drawing>
    </w:r>
    <w:r w:rsidR="000A5B5B" w:rsidRPr="00D5619D">
      <w:rPr>
        <w:rFonts w:cs="Times New Roman"/>
        <w:i/>
        <w:color w:val="1F497D" w:themeColor="text2"/>
      </w:rPr>
      <w:t>Informe d</w:t>
    </w:r>
    <w:r w:rsidR="000A5B5B">
      <w:rPr>
        <w:rFonts w:cs="Times New Roman"/>
        <w:i/>
        <w:color w:val="1F497D" w:themeColor="text2"/>
      </w:rPr>
      <w:t xml:space="preserve">e las Finanzas Públicas </w:t>
    </w:r>
    <w:r w:rsidR="004869FF">
      <w:rPr>
        <w:rFonts w:cs="Times New Roman"/>
        <w:i/>
        <w:color w:val="1F497D" w:themeColor="text2"/>
      </w:rPr>
      <w:t>–</w:t>
    </w:r>
    <w:r w:rsidR="000A5B5B">
      <w:rPr>
        <w:rFonts w:cs="Times New Roman"/>
        <w:i/>
        <w:color w:val="1F497D" w:themeColor="text2"/>
      </w:rPr>
      <w:t xml:space="preserve"> </w:t>
    </w:r>
    <w:r w:rsidR="00E73D62">
      <w:rPr>
        <w:rFonts w:cs="Times New Roman"/>
        <w:i/>
        <w:color w:val="1F497D" w:themeColor="text2"/>
      </w:rPr>
      <w:t>Tercer</w:t>
    </w:r>
    <w:r w:rsidR="005557C8">
      <w:rPr>
        <w:rFonts w:cs="Times New Roman"/>
        <w:i/>
        <w:color w:val="1F497D" w:themeColor="text2"/>
      </w:rPr>
      <w:t xml:space="preserve"> Trimestre</w:t>
    </w:r>
    <w:r w:rsidR="004869FF">
      <w:rPr>
        <w:rFonts w:cs="Times New Roman"/>
        <w:i/>
        <w:color w:val="1F497D" w:themeColor="text2"/>
      </w:rPr>
      <w:t xml:space="preserve"> 202</w:t>
    </w:r>
    <w:r w:rsidR="005557C8">
      <w:rPr>
        <w:rFonts w:cs="Times New Roman"/>
        <w:i/>
        <w:color w:val="1F497D" w:themeColor="text2"/>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FAAF1" w14:textId="77777777" w:rsidR="000A5B5B" w:rsidRDefault="000A5B5B">
    <w:pPr>
      <w:pStyle w:val="Piedepgina"/>
    </w:pPr>
    <w:r>
      <w:rPr>
        <w:rFonts w:cs="Times New Roman"/>
        <w:i/>
        <w:noProof/>
        <w:color w:val="1F497D" w:themeColor="text2"/>
        <w:lang w:eastAsia="es-GT"/>
      </w:rPr>
      <mc:AlternateContent>
        <mc:Choice Requires="wps">
          <w:drawing>
            <wp:anchor distT="0" distB="0" distL="114300" distR="114300" simplePos="0" relativeHeight="251658242" behindDoc="0" locked="0" layoutInCell="1" allowOverlap="1" wp14:anchorId="2C67F3FC" wp14:editId="2B07D3AE">
              <wp:simplePos x="0" y="0"/>
              <wp:positionH relativeFrom="column">
                <wp:posOffset>77580</wp:posOffset>
              </wp:positionH>
              <wp:positionV relativeFrom="paragraph">
                <wp:posOffset>-206568</wp:posOffset>
              </wp:positionV>
              <wp:extent cx="5931315" cy="47625"/>
              <wp:effectExtent l="0" t="0" r="12700" b="28575"/>
              <wp:wrapNone/>
              <wp:docPr id="45" name="45 Rectángulo"/>
              <wp:cNvGraphicFramePr/>
              <a:graphic xmlns:a="http://schemas.openxmlformats.org/drawingml/2006/main">
                <a:graphicData uri="http://schemas.microsoft.com/office/word/2010/wordprocessingShape">
                  <wps:wsp>
                    <wps:cNvSpPr/>
                    <wps:spPr>
                      <a:xfrm>
                        <a:off x="0" y="0"/>
                        <a:ext cx="5931315"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AC32DB" id="45 Rectángulo" o:spid="_x0000_s1026" style="position:absolute;margin-left:6.1pt;margin-top:-16.25pt;width:467.05pt;height: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" fillcolor="#8aabd3 [2132]" strokeweight="2pt">
              <v:fill color2="#f2f2f2 [3052]" rotate="t" angle="90" colors="0 #9ab5e4;50463f #c2d1ed;58327f #e1e8f5;64881f #f2f2f2" focus="100%" type="gradient">
                <o:fill v:ext="view" type="gradientUnscaled"/>
              </v:fil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D7B46" w14:textId="77777777" w:rsidR="007A7DB2" w:rsidRDefault="007A7DB2" w:rsidP="000B5E1C">
      <w:r>
        <w:separator/>
      </w:r>
    </w:p>
  </w:footnote>
  <w:footnote w:type="continuationSeparator" w:id="0">
    <w:p w14:paraId="7E91E0AD" w14:textId="77777777" w:rsidR="007A7DB2" w:rsidRDefault="007A7DB2" w:rsidP="000B5E1C">
      <w:r>
        <w:continuationSeparator/>
      </w:r>
    </w:p>
  </w:footnote>
  <w:footnote w:type="continuationNotice" w:id="1">
    <w:p w14:paraId="72C837C7" w14:textId="77777777" w:rsidR="007A7DB2" w:rsidRDefault="007A7D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4714C" w14:textId="1A52902C" w:rsidR="000A5B5B" w:rsidRPr="00AC45C7" w:rsidRDefault="0022750D" w:rsidP="00AC45C7">
    <w:pPr>
      <w:pStyle w:val="Encabezado"/>
      <w:jc w:val="right"/>
      <w:rPr>
        <w:rFonts w:cs="Times New Roman"/>
        <w:i/>
        <w:color w:val="1F497D" w:themeColor="text2"/>
      </w:rPr>
    </w:pPr>
    <w:r>
      <w:rPr>
        <w:noProof/>
      </w:rPr>
      <w:drawing>
        <wp:anchor distT="0" distB="0" distL="114300" distR="114300" simplePos="0" relativeHeight="251662338" behindDoc="1" locked="0" layoutInCell="1" allowOverlap="1" wp14:anchorId="6C71B156" wp14:editId="74C176C9">
          <wp:simplePos x="0" y="0"/>
          <wp:positionH relativeFrom="column">
            <wp:posOffset>-154144</wp:posOffset>
          </wp:positionH>
          <wp:positionV relativeFrom="paragraph">
            <wp:posOffset>-292735</wp:posOffset>
          </wp:positionV>
          <wp:extent cx="1403584" cy="736979"/>
          <wp:effectExtent l="0" t="0" r="0" b="0"/>
          <wp:wrapNone/>
          <wp:docPr id="861922572" name="Imagen 86192257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22572" name="Imagen 86192257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03584" cy="736979"/>
                  </a:xfrm>
                  <a:prstGeom prst="rect">
                    <a:avLst/>
                  </a:prstGeom>
                </pic:spPr>
              </pic:pic>
            </a:graphicData>
          </a:graphic>
          <wp14:sizeRelH relativeFrom="page">
            <wp14:pctWidth>0</wp14:pctWidth>
          </wp14:sizeRelH>
          <wp14:sizeRelV relativeFrom="page">
            <wp14:pctHeight>0</wp14:pctHeight>
          </wp14:sizeRelV>
        </wp:anchor>
      </w:drawing>
    </w:r>
    <w:r w:rsidR="000A5B5B">
      <w:rPr>
        <w:rFonts w:cs="Times New Roman"/>
        <w:i/>
        <w:noProof/>
        <w:color w:val="1F497D" w:themeColor="text2"/>
        <w:lang w:eastAsia="es-GT"/>
      </w:rPr>
      <mc:AlternateContent>
        <mc:Choice Requires="wps">
          <w:drawing>
            <wp:anchor distT="0" distB="0" distL="114300" distR="114300" simplePos="0" relativeHeight="251658241" behindDoc="0" locked="0" layoutInCell="1" allowOverlap="1" wp14:anchorId="26DEA52F" wp14:editId="3E9B19FB">
              <wp:simplePos x="0" y="0"/>
              <wp:positionH relativeFrom="column">
                <wp:posOffset>1147787</wp:posOffset>
              </wp:positionH>
              <wp:positionV relativeFrom="paragraph">
                <wp:posOffset>315840</wp:posOffset>
              </wp:positionV>
              <wp:extent cx="4955442" cy="45719"/>
              <wp:effectExtent l="0" t="0" r="17145" b="12065"/>
              <wp:wrapNone/>
              <wp:docPr id="44" name="44 Rectángulo"/>
              <wp:cNvGraphicFramePr/>
              <a:graphic xmlns:a="http://schemas.openxmlformats.org/drawingml/2006/main">
                <a:graphicData uri="http://schemas.microsoft.com/office/word/2010/wordprocessingShape">
                  <wps:wsp>
                    <wps:cNvSpPr/>
                    <wps:spPr>
                      <a:xfrm>
                        <a:off x="0" y="0"/>
                        <a:ext cx="4955442" cy="45719"/>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A131E" id="44 Rectángulo" o:spid="_x0000_s1026" style="position:absolute;margin-left:90.4pt;margin-top:24.85pt;width:390.2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" fillcolor="#8aabd3 [2132]" strokeweight="2pt">
              <v:fill color2="#f2f2f2 [3052]" rotate="t" angle="90" colors="0 #9ab5e4;50463f #c2d1ed;58327f #e1e8f5;64881f #f2f2f2" focus="100%" type="gradient">
                <o:fill v:ext="view" type="gradientUnscaled"/>
              </v:fill>
            </v:rect>
          </w:pict>
        </mc:Fallback>
      </mc:AlternateContent>
    </w:r>
    <w:r w:rsidR="000A5B5B" w:rsidRPr="00AC45C7">
      <w:rPr>
        <w:rFonts w:cs="Times New Roman"/>
        <w:i/>
        <w:color w:val="1F497D" w:themeColor="text2"/>
      </w:rPr>
      <w:t>Dirección de Análisis y Política Fiscal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674F" w14:textId="77777777" w:rsidR="000A5B5B" w:rsidRPr="005329C2" w:rsidRDefault="000A5B5B" w:rsidP="00CB498E">
    <w:pPr>
      <w:pStyle w:val="Encabezado"/>
      <w:jc w:val="center"/>
      <w:rPr>
        <w:rFonts w:cs="Times New Roman"/>
        <w:i/>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B160D"/>
    <w:multiLevelType w:val="hybridMultilevel"/>
    <w:tmpl w:val="5652F5FA"/>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A32CD"/>
    <w:multiLevelType w:val="hybridMultilevel"/>
    <w:tmpl w:val="6818CF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30B3E59"/>
    <w:multiLevelType w:val="hybridMultilevel"/>
    <w:tmpl w:val="F832278A"/>
    <w:lvl w:ilvl="0" w:tplc="4142F532">
      <w:start w:val="1"/>
      <w:numFmt w:val="low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45536B5"/>
    <w:multiLevelType w:val="hybridMultilevel"/>
    <w:tmpl w:val="02E2FB34"/>
    <w:lvl w:ilvl="0" w:tplc="2E828656">
      <w:start w:val="1"/>
      <w:numFmt w:val="decimal"/>
      <w:lvlText w:val="%1.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6811248"/>
    <w:multiLevelType w:val="hybridMultilevel"/>
    <w:tmpl w:val="2E12EF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DFA2B56"/>
    <w:multiLevelType w:val="hybridMultilevel"/>
    <w:tmpl w:val="60DAF59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F151372"/>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E5232B"/>
    <w:multiLevelType w:val="hybridMultilevel"/>
    <w:tmpl w:val="E06C4B02"/>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3721B"/>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605102"/>
    <w:multiLevelType w:val="hybridMultilevel"/>
    <w:tmpl w:val="FEA4A05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0" w15:restartNumberingAfterBreak="0">
    <w:nsid w:val="2B756652"/>
    <w:multiLevelType w:val="hybridMultilevel"/>
    <w:tmpl w:val="4C3CF3C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CEE5E3C"/>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3D32D9"/>
    <w:multiLevelType w:val="hybridMultilevel"/>
    <w:tmpl w:val="D6B8F3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D5A09C0"/>
    <w:multiLevelType w:val="hybridMultilevel"/>
    <w:tmpl w:val="92F073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F3A7D94"/>
    <w:multiLevelType w:val="hybridMultilevel"/>
    <w:tmpl w:val="D4A449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1A24AD2"/>
    <w:multiLevelType w:val="multilevel"/>
    <w:tmpl w:val="0C0A0025"/>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6" w15:restartNumberingAfterBreak="0">
    <w:nsid w:val="38E61988"/>
    <w:multiLevelType w:val="hybridMultilevel"/>
    <w:tmpl w:val="7D04A81C"/>
    <w:lvl w:ilvl="0" w:tplc="A1F83D42">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7" w15:restartNumberingAfterBreak="0">
    <w:nsid w:val="39344CF8"/>
    <w:multiLevelType w:val="hybridMultilevel"/>
    <w:tmpl w:val="39F4D9A0"/>
    <w:lvl w:ilvl="0" w:tplc="100A0017">
      <w:start w:val="1"/>
      <w:numFmt w:val="lowerLetter"/>
      <w:lvlText w:val="%1)"/>
      <w:lvlJc w:val="left"/>
      <w:pPr>
        <w:tabs>
          <w:tab w:val="num" w:pos="1428"/>
        </w:tabs>
        <w:ind w:left="1428" w:hanging="360"/>
      </w:pPr>
      <w:rPr>
        <w:rFonts w:hint="default"/>
      </w:rPr>
    </w:lvl>
    <w:lvl w:ilvl="1" w:tplc="88A822C4" w:tentative="1">
      <w:start w:val="1"/>
      <w:numFmt w:val="bullet"/>
      <w:lvlText w:val="•"/>
      <w:lvlJc w:val="left"/>
      <w:pPr>
        <w:tabs>
          <w:tab w:val="num" w:pos="2148"/>
        </w:tabs>
        <w:ind w:left="2148" w:hanging="360"/>
      </w:pPr>
      <w:rPr>
        <w:rFonts w:ascii="Arial" w:hAnsi="Arial" w:hint="default"/>
      </w:rPr>
    </w:lvl>
    <w:lvl w:ilvl="2" w:tplc="0A663566" w:tentative="1">
      <w:start w:val="1"/>
      <w:numFmt w:val="bullet"/>
      <w:lvlText w:val="•"/>
      <w:lvlJc w:val="left"/>
      <w:pPr>
        <w:tabs>
          <w:tab w:val="num" w:pos="2868"/>
        </w:tabs>
        <w:ind w:left="2868" w:hanging="360"/>
      </w:pPr>
      <w:rPr>
        <w:rFonts w:ascii="Arial" w:hAnsi="Arial" w:hint="default"/>
      </w:rPr>
    </w:lvl>
    <w:lvl w:ilvl="3" w:tplc="FC0AC50E" w:tentative="1">
      <w:start w:val="1"/>
      <w:numFmt w:val="bullet"/>
      <w:lvlText w:val="•"/>
      <w:lvlJc w:val="left"/>
      <w:pPr>
        <w:tabs>
          <w:tab w:val="num" w:pos="3588"/>
        </w:tabs>
        <w:ind w:left="3588" w:hanging="360"/>
      </w:pPr>
      <w:rPr>
        <w:rFonts w:ascii="Arial" w:hAnsi="Arial" w:hint="default"/>
      </w:rPr>
    </w:lvl>
    <w:lvl w:ilvl="4" w:tplc="2F2C20D6" w:tentative="1">
      <w:start w:val="1"/>
      <w:numFmt w:val="bullet"/>
      <w:lvlText w:val="•"/>
      <w:lvlJc w:val="left"/>
      <w:pPr>
        <w:tabs>
          <w:tab w:val="num" w:pos="4308"/>
        </w:tabs>
        <w:ind w:left="4308" w:hanging="360"/>
      </w:pPr>
      <w:rPr>
        <w:rFonts w:ascii="Arial" w:hAnsi="Arial" w:hint="default"/>
      </w:rPr>
    </w:lvl>
    <w:lvl w:ilvl="5" w:tplc="3D765614" w:tentative="1">
      <w:start w:val="1"/>
      <w:numFmt w:val="bullet"/>
      <w:lvlText w:val="•"/>
      <w:lvlJc w:val="left"/>
      <w:pPr>
        <w:tabs>
          <w:tab w:val="num" w:pos="5028"/>
        </w:tabs>
        <w:ind w:left="5028" w:hanging="360"/>
      </w:pPr>
      <w:rPr>
        <w:rFonts w:ascii="Arial" w:hAnsi="Arial" w:hint="default"/>
      </w:rPr>
    </w:lvl>
    <w:lvl w:ilvl="6" w:tplc="D7B4C0EE" w:tentative="1">
      <w:start w:val="1"/>
      <w:numFmt w:val="bullet"/>
      <w:lvlText w:val="•"/>
      <w:lvlJc w:val="left"/>
      <w:pPr>
        <w:tabs>
          <w:tab w:val="num" w:pos="5748"/>
        </w:tabs>
        <w:ind w:left="5748" w:hanging="360"/>
      </w:pPr>
      <w:rPr>
        <w:rFonts w:ascii="Arial" w:hAnsi="Arial" w:hint="default"/>
      </w:rPr>
    </w:lvl>
    <w:lvl w:ilvl="7" w:tplc="FFBC65E4" w:tentative="1">
      <w:start w:val="1"/>
      <w:numFmt w:val="bullet"/>
      <w:lvlText w:val="•"/>
      <w:lvlJc w:val="left"/>
      <w:pPr>
        <w:tabs>
          <w:tab w:val="num" w:pos="6468"/>
        </w:tabs>
        <w:ind w:left="6468" w:hanging="360"/>
      </w:pPr>
      <w:rPr>
        <w:rFonts w:ascii="Arial" w:hAnsi="Arial" w:hint="default"/>
      </w:rPr>
    </w:lvl>
    <w:lvl w:ilvl="8" w:tplc="7AD008E2" w:tentative="1">
      <w:start w:val="1"/>
      <w:numFmt w:val="bullet"/>
      <w:lvlText w:val="•"/>
      <w:lvlJc w:val="left"/>
      <w:pPr>
        <w:tabs>
          <w:tab w:val="num" w:pos="7188"/>
        </w:tabs>
        <w:ind w:left="7188" w:hanging="360"/>
      </w:pPr>
      <w:rPr>
        <w:rFonts w:ascii="Arial" w:hAnsi="Arial" w:hint="default"/>
      </w:rPr>
    </w:lvl>
  </w:abstractNum>
  <w:abstractNum w:abstractNumId="18" w15:restartNumberingAfterBreak="0">
    <w:nsid w:val="3F4E4675"/>
    <w:multiLevelType w:val="hybridMultilevel"/>
    <w:tmpl w:val="592A14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1F878AD"/>
    <w:multiLevelType w:val="multilevel"/>
    <w:tmpl w:val="6BE6BB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3772FF"/>
    <w:multiLevelType w:val="multilevel"/>
    <w:tmpl w:val="B420C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455B36"/>
    <w:multiLevelType w:val="hybridMultilevel"/>
    <w:tmpl w:val="2F9A9654"/>
    <w:lvl w:ilvl="0" w:tplc="DB6E8538">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0587C29"/>
    <w:multiLevelType w:val="hybridMultilevel"/>
    <w:tmpl w:val="21D2FB3A"/>
    <w:lvl w:ilvl="0" w:tplc="100A0017">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23" w15:restartNumberingAfterBreak="0">
    <w:nsid w:val="523C077D"/>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777B9E"/>
    <w:multiLevelType w:val="hybridMultilevel"/>
    <w:tmpl w:val="3F0047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82A1421"/>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741E90"/>
    <w:multiLevelType w:val="multilevel"/>
    <w:tmpl w:val="58DEA22A"/>
    <w:lvl w:ilvl="0">
      <w:start w:val="1"/>
      <w:numFmt w:val="upperRoman"/>
      <w:lvlText w:val="%1."/>
      <w:lvlJc w:val="left"/>
      <w:pPr>
        <w:ind w:left="720" w:hanging="720"/>
      </w:pPr>
      <w:rPr>
        <w:rFonts w:hint="default"/>
      </w:rPr>
    </w:lvl>
    <w:lvl w:ilvl="1">
      <w:start w:val="3"/>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B02801"/>
    <w:multiLevelType w:val="hybridMultilevel"/>
    <w:tmpl w:val="CDF2324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9DE5F78"/>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403D22"/>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E5754F"/>
    <w:multiLevelType w:val="hybridMultilevel"/>
    <w:tmpl w:val="66D0A5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D1A7293"/>
    <w:multiLevelType w:val="hybridMultilevel"/>
    <w:tmpl w:val="574693B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E9B22BF"/>
    <w:multiLevelType w:val="hybridMultilevel"/>
    <w:tmpl w:val="7D0EE6BA"/>
    <w:lvl w:ilvl="0" w:tplc="FD3A4A76">
      <w:start w:val="1"/>
      <w:numFmt w:val="lowerLetter"/>
      <w:lvlText w:val="%1."/>
      <w:lvlJc w:val="left"/>
      <w:pPr>
        <w:ind w:left="720" w:hanging="360"/>
      </w:pPr>
      <w:rPr>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E9E267F"/>
    <w:multiLevelType w:val="hybridMultilevel"/>
    <w:tmpl w:val="B18CB37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27D15BE"/>
    <w:multiLevelType w:val="multilevel"/>
    <w:tmpl w:val="E6A25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9C3A2A"/>
    <w:multiLevelType w:val="hybridMultilevel"/>
    <w:tmpl w:val="36860404"/>
    <w:lvl w:ilvl="0" w:tplc="46F0C8B4">
      <w:start w:val="1"/>
      <w:numFmt w:val="bullet"/>
      <w:lvlText w:val="•"/>
      <w:lvlJc w:val="left"/>
      <w:pPr>
        <w:tabs>
          <w:tab w:val="num" w:pos="720"/>
        </w:tabs>
        <w:ind w:left="720" w:hanging="360"/>
      </w:pPr>
      <w:rPr>
        <w:rFonts w:ascii="Arial" w:hAnsi="Arial" w:hint="default"/>
      </w:rPr>
    </w:lvl>
    <w:lvl w:ilvl="1" w:tplc="3640B6EE">
      <w:start w:val="82"/>
      <w:numFmt w:val="bullet"/>
      <w:lvlText w:val=""/>
      <w:lvlJc w:val="left"/>
      <w:pPr>
        <w:tabs>
          <w:tab w:val="num" w:pos="1440"/>
        </w:tabs>
        <w:ind w:left="1440" w:hanging="360"/>
      </w:pPr>
      <w:rPr>
        <w:rFonts w:ascii="Wingdings" w:hAnsi="Wingdings" w:hint="default"/>
      </w:rPr>
    </w:lvl>
    <w:lvl w:ilvl="2" w:tplc="803E46F8">
      <w:start w:val="82"/>
      <w:numFmt w:val="bullet"/>
      <w:lvlText w:val=""/>
      <w:lvlJc w:val="left"/>
      <w:pPr>
        <w:tabs>
          <w:tab w:val="num" w:pos="2160"/>
        </w:tabs>
        <w:ind w:left="2160" w:hanging="360"/>
      </w:pPr>
      <w:rPr>
        <w:rFonts w:ascii="Wingdings" w:hAnsi="Wingdings" w:hint="default"/>
      </w:rPr>
    </w:lvl>
    <w:lvl w:ilvl="3" w:tplc="E9BEBE16" w:tentative="1">
      <w:start w:val="1"/>
      <w:numFmt w:val="bullet"/>
      <w:lvlText w:val="•"/>
      <w:lvlJc w:val="left"/>
      <w:pPr>
        <w:tabs>
          <w:tab w:val="num" w:pos="2880"/>
        </w:tabs>
        <w:ind w:left="2880" w:hanging="360"/>
      </w:pPr>
      <w:rPr>
        <w:rFonts w:ascii="Arial" w:hAnsi="Arial" w:hint="default"/>
      </w:rPr>
    </w:lvl>
    <w:lvl w:ilvl="4" w:tplc="E7928B86" w:tentative="1">
      <w:start w:val="1"/>
      <w:numFmt w:val="bullet"/>
      <w:lvlText w:val="•"/>
      <w:lvlJc w:val="left"/>
      <w:pPr>
        <w:tabs>
          <w:tab w:val="num" w:pos="3600"/>
        </w:tabs>
        <w:ind w:left="3600" w:hanging="360"/>
      </w:pPr>
      <w:rPr>
        <w:rFonts w:ascii="Arial" w:hAnsi="Arial" w:hint="default"/>
      </w:rPr>
    </w:lvl>
    <w:lvl w:ilvl="5" w:tplc="FA6205C2" w:tentative="1">
      <w:start w:val="1"/>
      <w:numFmt w:val="bullet"/>
      <w:lvlText w:val="•"/>
      <w:lvlJc w:val="left"/>
      <w:pPr>
        <w:tabs>
          <w:tab w:val="num" w:pos="4320"/>
        </w:tabs>
        <w:ind w:left="4320" w:hanging="360"/>
      </w:pPr>
      <w:rPr>
        <w:rFonts w:ascii="Arial" w:hAnsi="Arial" w:hint="default"/>
      </w:rPr>
    </w:lvl>
    <w:lvl w:ilvl="6" w:tplc="3B56D9A4" w:tentative="1">
      <w:start w:val="1"/>
      <w:numFmt w:val="bullet"/>
      <w:lvlText w:val="•"/>
      <w:lvlJc w:val="left"/>
      <w:pPr>
        <w:tabs>
          <w:tab w:val="num" w:pos="5040"/>
        </w:tabs>
        <w:ind w:left="5040" w:hanging="360"/>
      </w:pPr>
      <w:rPr>
        <w:rFonts w:ascii="Arial" w:hAnsi="Arial" w:hint="default"/>
      </w:rPr>
    </w:lvl>
    <w:lvl w:ilvl="7" w:tplc="FF32ECCC" w:tentative="1">
      <w:start w:val="1"/>
      <w:numFmt w:val="bullet"/>
      <w:lvlText w:val="•"/>
      <w:lvlJc w:val="left"/>
      <w:pPr>
        <w:tabs>
          <w:tab w:val="num" w:pos="5760"/>
        </w:tabs>
        <w:ind w:left="5760" w:hanging="360"/>
      </w:pPr>
      <w:rPr>
        <w:rFonts w:ascii="Arial" w:hAnsi="Arial" w:hint="default"/>
      </w:rPr>
    </w:lvl>
    <w:lvl w:ilvl="8" w:tplc="DE920C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3E5119"/>
    <w:multiLevelType w:val="hybridMultilevel"/>
    <w:tmpl w:val="D05E2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0CB5DA4"/>
    <w:multiLevelType w:val="hybridMultilevel"/>
    <w:tmpl w:val="E174D1C4"/>
    <w:lvl w:ilvl="0" w:tplc="80D2798C">
      <w:start w:val="1"/>
      <w:numFmt w:val="decimal"/>
      <w:lvlText w:val="%1."/>
      <w:lvlJc w:val="left"/>
      <w:pPr>
        <w:ind w:left="720" w:hanging="360"/>
      </w:pPr>
      <w:rPr>
        <w:b/>
      </w:rPr>
    </w:lvl>
    <w:lvl w:ilvl="1" w:tplc="100A0017">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7336333D"/>
    <w:multiLevelType w:val="hybridMultilevel"/>
    <w:tmpl w:val="C3B0B7D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73985C45"/>
    <w:multiLevelType w:val="hybridMultilevel"/>
    <w:tmpl w:val="0C14AC04"/>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41" w15:restartNumberingAfterBreak="0">
    <w:nsid w:val="75050691"/>
    <w:multiLevelType w:val="hybridMultilevel"/>
    <w:tmpl w:val="ED325860"/>
    <w:lvl w:ilvl="0" w:tplc="BDAE2E8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7BD86473"/>
    <w:multiLevelType w:val="hybridMultilevel"/>
    <w:tmpl w:val="AFA85F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7E490913"/>
    <w:multiLevelType w:val="hybridMultilevel"/>
    <w:tmpl w:val="8D88FC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4" w15:restartNumberingAfterBreak="0">
    <w:nsid w:val="7FC208F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10115933">
    <w:abstractNumId w:val="26"/>
  </w:num>
  <w:num w:numId="2" w16cid:durableId="616104444">
    <w:abstractNumId w:val="24"/>
  </w:num>
  <w:num w:numId="3" w16cid:durableId="1003121720">
    <w:abstractNumId w:val="13"/>
  </w:num>
  <w:num w:numId="4" w16cid:durableId="1532449558">
    <w:abstractNumId w:val="12"/>
  </w:num>
  <w:num w:numId="5" w16cid:durableId="270359919">
    <w:abstractNumId w:val="30"/>
  </w:num>
  <w:num w:numId="6" w16cid:durableId="1319454827">
    <w:abstractNumId w:val="42"/>
  </w:num>
  <w:num w:numId="7" w16cid:durableId="101345610">
    <w:abstractNumId w:val="31"/>
  </w:num>
  <w:num w:numId="8" w16cid:durableId="1287732566">
    <w:abstractNumId w:val="4"/>
  </w:num>
  <w:num w:numId="9" w16cid:durableId="1742823959">
    <w:abstractNumId w:val="3"/>
  </w:num>
  <w:num w:numId="10" w16cid:durableId="686254728">
    <w:abstractNumId w:val="19"/>
  </w:num>
  <w:num w:numId="11" w16cid:durableId="571233121">
    <w:abstractNumId w:val="20"/>
  </w:num>
  <w:num w:numId="12" w16cid:durableId="154077639">
    <w:abstractNumId w:val="23"/>
  </w:num>
  <w:num w:numId="13" w16cid:durableId="232547100">
    <w:abstractNumId w:val="32"/>
  </w:num>
  <w:num w:numId="14" w16cid:durableId="1808741349">
    <w:abstractNumId w:val="27"/>
  </w:num>
  <w:num w:numId="15" w16cid:durableId="1742949629">
    <w:abstractNumId w:val="7"/>
  </w:num>
  <w:num w:numId="16" w16cid:durableId="1387341138">
    <w:abstractNumId w:val="0"/>
  </w:num>
  <w:num w:numId="17" w16cid:durableId="287932176">
    <w:abstractNumId w:val="17"/>
  </w:num>
  <w:num w:numId="18" w16cid:durableId="971985791">
    <w:abstractNumId w:val="22"/>
  </w:num>
  <w:num w:numId="19" w16cid:durableId="2075810811">
    <w:abstractNumId w:val="35"/>
  </w:num>
  <w:num w:numId="20" w16cid:durableId="1898084454">
    <w:abstractNumId w:val="16"/>
  </w:num>
  <w:num w:numId="21" w16cid:durableId="2145465593">
    <w:abstractNumId w:val="37"/>
  </w:num>
  <w:num w:numId="22" w16cid:durableId="401222863">
    <w:abstractNumId w:val="40"/>
  </w:num>
  <w:num w:numId="23" w16cid:durableId="262886919">
    <w:abstractNumId w:val="15"/>
  </w:num>
  <w:num w:numId="24" w16cid:durableId="443427907">
    <w:abstractNumId w:val="15"/>
  </w:num>
  <w:num w:numId="25" w16cid:durableId="1799839514">
    <w:abstractNumId w:val="9"/>
  </w:num>
  <w:num w:numId="26" w16cid:durableId="730083202">
    <w:abstractNumId w:val="2"/>
  </w:num>
  <w:num w:numId="27" w16cid:durableId="701446091">
    <w:abstractNumId w:val="36"/>
  </w:num>
  <w:num w:numId="28" w16cid:durableId="532694257">
    <w:abstractNumId w:val="10"/>
  </w:num>
  <w:num w:numId="29" w16cid:durableId="129136736">
    <w:abstractNumId w:val="14"/>
  </w:num>
  <w:num w:numId="30" w16cid:durableId="1418750669">
    <w:abstractNumId w:val="41"/>
  </w:num>
  <w:num w:numId="31" w16cid:durableId="796488169">
    <w:abstractNumId w:val="1"/>
  </w:num>
  <w:num w:numId="32" w16cid:durableId="761145293">
    <w:abstractNumId w:val="34"/>
  </w:num>
  <w:num w:numId="33" w16cid:durableId="1483694986">
    <w:abstractNumId w:val="43"/>
  </w:num>
  <w:num w:numId="34" w16cid:durableId="1020745421">
    <w:abstractNumId w:val="18"/>
  </w:num>
  <w:num w:numId="35" w16cid:durableId="253906425">
    <w:abstractNumId w:val="11"/>
  </w:num>
  <w:num w:numId="36" w16cid:durableId="1993950886">
    <w:abstractNumId w:val="44"/>
  </w:num>
  <w:num w:numId="37" w16cid:durableId="1440489007">
    <w:abstractNumId w:val="33"/>
  </w:num>
  <w:num w:numId="38" w16cid:durableId="2107382039">
    <w:abstractNumId w:val="21"/>
  </w:num>
  <w:num w:numId="39" w16cid:durableId="135725501">
    <w:abstractNumId w:val="29"/>
  </w:num>
  <w:num w:numId="40" w16cid:durableId="280839737">
    <w:abstractNumId w:val="6"/>
  </w:num>
  <w:num w:numId="41" w16cid:durableId="1369525952">
    <w:abstractNumId w:val="25"/>
  </w:num>
  <w:num w:numId="42" w16cid:durableId="1542857961">
    <w:abstractNumId w:val="28"/>
  </w:num>
  <w:num w:numId="43" w16cid:durableId="1942491678">
    <w:abstractNumId w:val="8"/>
  </w:num>
  <w:num w:numId="44" w16cid:durableId="656804442">
    <w:abstractNumId w:val="5"/>
  </w:num>
  <w:num w:numId="45" w16cid:durableId="471405126">
    <w:abstractNumId w:val="38"/>
  </w:num>
  <w:num w:numId="46" w16cid:durableId="13351079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98"/>
    <w:rsid w:val="000002AE"/>
    <w:rsid w:val="000003CC"/>
    <w:rsid w:val="00000530"/>
    <w:rsid w:val="00000926"/>
    <w:rsid w:val="00001278"/>
    <w:rsid w:val="000013F6"/>
    <w:rsid w:val="00001437"/>
    <w:rsid w:val="0000165C"/>
    <w:rsid w:val="0000167B"/>
    <w:rsid w:val="000019FB"/>
    <w:rsid w:val="00001B7A"/>
    <w:rsid w:val="00001E2B"/>
    <w:rsid w:val="00001ED4"/>
    <w:rsid w:val="00002252"/>
    <w:rsid w:val="00002881"/>
    <w:rsid w:val="00002C1C"/>
    <w:rsid w:val="00002CCD"/>
    <w:rsid w:val="000032AE"/>
    <w:rsid w:val="000038B1"/>
    <w:rsid w:val="00003BA5"/>
    <w:rsid w:val="00004307"/>
    <w:rsid w:val="000045FB"/>
    <w:rsid w:val="00004DCF"/>
    <w:rsid w:val="00004F16"/>
    <w:rsid w:val="00005674"/>
    <w:rsid w:val="00005925"/>
    <w:rsid w:val="00005EB8"/>
    <w:rsid w:val="00006172"/>
    <w:rsid w:val="0000665E"/>
    <w:rsid w:val="000073D2"/>
    <w:rsid w:val="00007F68"/>
    <w:rsid w:val="00010107"/>
    <w:rsid w:val="000108BE"/>
    <w:rsid w:val="00010D58"/>
    <w:rsid w:val="000115A2"/>
    <w:rsid w:val="000117D8"/>
    <w:rsid w:val="000121A8"/>
    <w:rsid w:val="00012781"/>
    <w:rsid w:val="00012ACD"/>
    <w:rsid w:val="00012D4A"/>
    <w:rsid w:val="00012FB4"/>
    <w:rsid w:val="0001329E"/>
    <w:rsid w:val="000134F1"/>
    <w:rsid w:val="00013BEC"/>
    <w:rsid w:val="00013C44"/>
    <w:rsid w:val="00013ECF"/>
    <w:rsid w:val="00013FC9"/>
    <w:rsid w:val="00014246"/>
    <w:rsid w:val="0001429E"/>
    <w:rsid w:val="00014D0D"/>
    <w:rsid w:val="00014EAD"/>
    <w:rsid w:val="00014F25"/>
    <w:rsid w:val="00015107"/>
    <w:rsid w:val="00015370"/>
    <w:rsid w:val="00015674"/>
    <w:rsid w:val="00016805"/>
    <w:rsid w:val="00016CEF"/>
    <w:rsid w:val="00017427"/>
    <w:rsid w:val="000177EF"/>
    <w:rsid w:val="00017D51"/>
    <w:rsid w:val="00017FF6"/>
    <w:rsid w:val="00020904"/>
    <w:rsid w:val="0002091B"/>
    <w:rsid w:val="00020D03"/>
    <w:rsid w:val="00020F04"/>
    <w:rsid w:val="00020F69"/>
    <w:rsid w:val="000212B0"/>
    <w:rsid w:val="00021528"/>
    <w:rsid w:val="0002188F"/>
    <w:rsid w:val="00021D52"/>
    <w:rsid w:val="00021FD5"/>
    <w:rsid w:val="00022F9D"/>
    <w:rsid w:val="00023745"/>
    <w:rsid w:val="000238F3"/>
    <w:rsid w:val="00023981"/>
    <w:rsid w:val="00023ADD"/>
    <w:rsid w:val="00023DC8"/>
    <w:rsid w:val="00024165"/>
    <w:rsid w:val="000245CA"/>
    <w:rsid w:val="00024BD6"/>
    <w:rsid w:val="00024BF7"/>
    <w:rsid w:val="00024DE4"/>
    <w:rsid w:val="00024FF6"/>
    <w:rsid w:val="00025456"/>
    <w:rsid w:val="00025B90"/>
    <w:rsid w:val="0002670B"/>
    <w:rsid w:val="000267E3"/>
    <w:rsid w:val="00026985"/>
    <w:rsid w:val="00027A8F"/>
    <w:rsid w:val="00027D48"/>
    <w:rsid w:val="000306FE"/>
    <w:rsid w:val="000309EC"/>
    <w:rsid w:val="00030C84"/>
    <w:rsid w:val="00031937"/>
    <w:rsid w:val="00031A96"/>
    <w:rsid w:val="00031FB0"/>
    <w:rsid w:val="00032230"/>
    <w:rsid w:val="0003257D"/>
    <w:rsid w:val="000326D8"/>
    <w:rsid w:val="00032B26"/>
    <w:rsid w:val="00033312"/>
    <w:rsid w:val="0003343E"/>
    <w:rsid w:val="00033638"/>
    <w:rsid w:val="00033A52"/>
    <w:rsid w:val="00033B15"/>
    <w:rsid w:val="00033DB1"/>
    <w:rsid w:val="00034246"/>
    <w:rsid w:val="000347BC"/>
    <w:rsid w:val="000347FD"/>
    <w:rsid w:val="00035461"/>
    <w:rsid w:val="00035952"/>
    <w:rsid w:val="00035C14"/>
    <w:rsid w:val="00035E51"/>
    <w:rsid w:val="00036843"/>
    <w:rsid w:val="000369C8"/>
    <w:rsid w:val="00040416"/>
    <w:rsid w:val="000410C1"/>
    <w:rsid w:val="0004120F"/>
    <w:rsid w:val="00041776"/>
    <w:rsid w:val="0004212A"/>
    <w:rsid w:val="00042669"/>
    <w:rsid w:val="00042AA3"/>
    <w:rsid w:val="00043B88"/>
    <w:rsid w:val="000441F1"/>
    <w:rsid w:val="000449B7"/>
    <w:rsid w:val="00044AF8"/>
    <w:rsid w:val="000453CA"/>
    <w:rsid w:val="00045570"/>
    <w:rsid w:val="00045861"/>
    <w:rsid w:val="00045CD6"/>
    <w:rsid w:val="00046004"/>
    <w:rsid w:val="00046060"/>
    <w:rsid w:val="00046E34"/>
    <w:rsid w:val="00046F9F"/>
    <w:rsid w:val="000476BB"/>
    <w:rsid w:val="000476F2"/>
    <w:rsid w:val="00047AF2"/>
    <w:rsid w:val="000500D6"/>
    <w:rsid w:val="00050721"/>
    <w:rsid w:val="00051734"/>
    <w:rsid w:val="00051879"/>
    <w:rsid w:val="00051BBF"/>
    <w:rsid w:val="0005215A"/>
    <w:rsid w:val="000524BF"/>
    <w:rsid w:val="00053482"/>
    <w:rsid w:val="00053A65"/>
    <w:rsid w:val="00053AD6"/>
    <w:rsid w:val="00053DB7"/>
    <w:rsid w:val="00053F58"/>
    <w:rsid w:val="0005529E"/>
    <w:rsid w:val="00055614"/>
    <w:rsid w:val="00055925"/>
    <w:rsid w:val="00055D08"/>
    <w:rsid w:val="00055DD0"/>
    <w:rsid w:val="00056E8E"/>
    <w:rsid w:val="000572DF"/>
    <w:rsid w:val="00057827"/>
    <w:rsid w:val="00057B7D"/>
    <w:rsid w:val="00057EB8"/>
    <w:rsid w:val="000614BB"/>
    <w:rsid w:val="000617F8"/>
    <w:rsid w:val="00061975"/>
    <w:rsid w:val="00061E2E"/>
    <w:rsid w:val="0006231C"/>
    <w:rsid w:val="00062CBA"/>
    <w:rsid w:val="00062E16"/>
    <w:rsid w:val="00062ED8"/>
    <w:rsid w:val="00063364"/>
    <w:rsid w:val="00063373"/>
    <w:rsid w:val="00063A1D"/>
    <w:rsid w:val="00063CB5"/>
    <w:rsid w:val="00063DE1"/>
    <w:rsid w:val="00064239"/>
    <w:rsid w:val="000642AF"/>
    <w:rsid w:val="0006477B"/>
    <w:rsid w:val="00064BA9"/>
    <w:rsid w:val="00064BD3"/>
    <w:rsid w:val="00064EA8"/>
    <w:rsid w:val="00065259"/>
    <w:rsid w:val="00065451"/>
    <w:rsid w:val="000655A9"/>
    <w:rsid w:val="00065991"/>
    <w:rsid w:val="00065C24"/>
    <w:rsid w:val="00066095"/>
    <w:rsid w:val="00066283"/>
    <w:rsid w:val="00066286"/>
    <w:rsid w:val="0006680E"/>
    <w:rsid w:val="00066CD1"/>
    <w:rsid w:val="000671E5"/>
    <w:rsid w:val="00067459"/>
    <w:rsid w:val="00067741"/>
    <w:rsid w:val="000678AC"/>
    <w:rsid w:val="00067B4A"/>
    <w:rsid w:val="00067E7F"/>
    <w:rsid w:val="00070108"/>
    <w:rsid w:val="00070552"/>
    <w:rsid w:val="000705C1"/>
    <w:rsid w:val="000706ED"/>
    <w:rsid w:val="000707A3"/>
    <w:rsid w:val="00070899"/>
    <w:rsid w:val="00070A2D"/>
    <w:rsid w:val="00071109"/>
    <w:rsid w:val="00071810"/>
    <w:rsid w:val="00071B55"/>
    <w:rsid w:val="00071CAF"/>
    <w:rsid w:val="00071DD6"/>
    <w:rsid w:val="00072136"/>
    <w:rsid w:val="00072BAA"/>
    <w:rsid w:val="00072C8D"/>
    <w:rsid w:val="0007319D"/>
    <w:rsid w:val="00073457"/>
    <w:rsid w:val="000736AA"/>
    <w:rsid w:val="000737A4"/>
    <w:rsid w:val="000738DF"/>
    <w:rsid w:val="00073E5E"/>
    <w:rsid w:val="000741A3"/>
    <w:rsid w:val="00074337"/>
    <w:rsid w:val="00074476"/>
    <w:rsid w:val="00074844"/>
    <w:rsid w:val="00074C38"/>
    <w:rsid w:val="00075216"/>
    <w:rsid w:val="000754D5"/>
    <w:rsid w:val="00076100"/>
    <w:rsid w:val="00076415"/>
    <w:rsid w:val="00076794"/>
    <w:rsid w:val="0007736A"/>
    <w:rsid w:val="00077425"/>
    <w:rsid w:val="0007767A"/>
    <w:rsid w:val="00080010"/>
    <w:rsid w:val="00080DA6"/>
    <w:rsid w:val="00080F11"/>
    <w:rsid w:val="00080F5E"/>
    <w:rsid w:val="00081254"/>
    <w:rsid w:val="00081A07"/>
    <w:rsid w:val="00082333"/>
    <w:rsid w:val="000823E4"/>
    <w:rsid w:val="0008278D"/>
    <w:rsid w:val="00082DFF"/>
    <w:rsid w:val="00082E65"/>
    <w:rsid w:val="00083239"/>
    <w:rsid w:val="0008334E"/>
    <w:rsid w:val="0008351D"/>
    <w:rsid w:val="000836FF"/>
    <w:rsid w:val="0008380C"/>
    <w:rsid w:val="00083DEF"/>
    <w:rsid w:val="00083ED3"/>
    <w:rsid w:val="00083EE3"/>
    <w:rsid w:val="000846BE"/>
    <w:rsid w:val="00084748"/>
    <w:rsid w:val="000852BF"/>
    <w:rsid w:val="000853F6"/>
    <w:rsid w:val="000858E9"/>
    <w:rsid w:val="00085E1C"/>
    <w:rsid w:val="0008619F"/>
    <w:rsid w:val="000865AA"/>
    <w:rsid w:val="00086C6E"/>
    <w:rsid w:val="00087430"/>
    <w:rsid w:val="00087551"/>
    <w:rsid w:val="0008775B"/>
    <w:rsid w:val="00087EC1"/>
    <w:rsid w:val="00087EE1"/>
    <w:rsid w:val="00087EFB"/>
    <w:rsid w:val="00090202"/>
    <w:rsid w:val="00090AF4"/>
    <w:rsid w:val="00090C53"/>
    <w:rsid w:val="000918BC"/>
    <w:rsid w:val="00091942"/>
    <w:rsid w:val="00091A7F"/>
    <w:rsid w:val="00091E02"/>
    <w:rsid w:val="00092A19"/>
    <w:rsid w:val="00093371"/>
    <w:rsid w:val="00093A1B"/>
    <w:rsid w:val="00093E2B"/>
    <w:rsid w:val="00094050"/>
    <w:rsid w:val="000944FE"/>
    <w:rsid w:val="0009458D"/>
    <w:rsid w:val="00094A23"/>
    <w:rsid w:val="00094E26"/>
    <w:rsid w:val="0009511C"/>
    <w:rsid w:val="00095331"/>
    <w:rsid w:val="000958AF"/>
    <w:rsid w:val="00096497"/>
    <w:rsid w:val="00096FA6"/>
    <w:rsid w:val="00097862"/>
    <w:rsid w:val="00097889"/>
    <w:rsid w:val="00097F39"/>
    <w:rsid w:val="000A1AB2"/>
    <w:rsid w:val="000A1BF3"/>
    <w:rsid w:val="000A1D6B"/>
    <w:rsid w:val="000A2C08"/>
    <w:rsid w:val="000A2D14"/>
    <w:rsid w:val="000A2D19"/>
    <w:rsid w:val="000A2D1D"/>
    <w:rsid w:val="000A424A"/>
    <w:rsid w:val="000A46B3"/>
    <w:rsid w:val="000A47FE"/>
    <w:rsid w:val="000A4A23"/>
    <w:rsid w:val="000A4AD2"/>
    <w:rsid w:val="000A5922"/>
    <w:rsid w:val="000A5B5B"/>
    <w:rsid w:val="000A5E16"/>
    <w:rsid w:val="000A5FC5"/>
    <w:rsid w:val="000A60A1"/>
    <w:rsid w:val="000A61EB"/>
    <w:rsid w:val="000A6C8D"/>
    <w:rsid w:val="000A74BA"/>
    <w:rsid w:val="000A7603"/>
    <w:rsid w:val="000A7DD5"/>
    <w:rsid w:val="000A7E28"/>
    <w:rsid w:val="000B0440"/>
    <w:rsid w:val="000B04CE"/>
    <w:rsid w:val="000B057B"/>
    <w:rsid w:val="000B072C"/>
    <w:rsid w:val="000B0FCB"/>
    <w:rsid w:val="000B12F0"/>
    <w:rsid w:val="000B1376"/>
    <w:rsid w:val="000B1C5F"/>
    <w:rsid w:val="000B1E68"/>
    <w:rsid w:val="000B20C3"/>
    <w:rsid w:val="000B2992"/>
    <w:rsid w:val="000B29FE"/>
    <w:rsid w:val="000B2E7A"/>
    <w:rsid w:val="000B346C"/>
    <w:rsid w:val="000B3E87"/>
    <w:rsid w:val="000B404E"/>
    <w:rsid w:val="000B4083"/>
    <w:rsid w:val="000B4154"/>
    <w:rsid w:val="000B46D9"/>
    <w:rsid w:val="000B4929"/>
    <w:rsid w:val="000B4A3D"/>
    <w:rsid w:val="000B5075"/>
    <w:rsid w:val="000B5A6C"/>
    <w:rsid w:val="000B5CD0"/>
    <w:rsid w:val="000B5E1C"/>
    <w:rsid w:val="000B6143"/>
    <w:rsid w:val="000B6B1B"/>
    <w:rsid w:val="000B6D0C"/>
    <w:rsid w:val="000B72EA"/>
    <w:rsid w:val="000B75A4"/>
    <w:rsid w:val="000B76E1"/>
    <w:rsid w:val="000B778D"/>
    <w:rsid w:val="000C0275"/>
    <w:rsid w:val="000C0470"/>
    <w:rsid w:val="000C070B"/>
    <w:rsid w:val="000C10D5"/>
    <w:rsid w:val="000C150A"/>
    <w:rsid w:val="000C18E5"/>
    <w:rsid w:val="000C1B89"/>
    <w:rsid w:val="000C1CC5"/>
    <w:rsid w:val="000C1F8D"/>
    <w:rsid w:val="000C20CC"/>
    <w:rsid w:val="000C25EB"/>
    <w:rsid w:val="000C2639"/>
    <w:rsid w:val="000C27C6"/>
    <w:rsid w:val="000C283B"/>
    <w:rsid w:val="000C292E"/>
    <w:rsid w:val="000C3476"/>
    <w:rsid w:val="000C3496"/>
    <w:rsid w:val="000C3815"/>
    <w:rsid w:val="000C3E95"/>
    <w:rsid w:val="000C487F"/>
    <w:rsid w:val="000C4AD1"/>
    <w:rsid w:val="000C508A"/>
    <w:rsid w:val="000C51BD"/>
    <w:rsid w:val="000C51D3"/>
    <w:rsid w:val="000C52BC"/>
    <w:rsid w:val="000C5320"/>
    <w:rsid w:val="000C54D3"/>
    <w:rsid w:val="000C5BA6"/>
    <w:rsid w:val="000C5BDD"/>
    <w:rsid w:val="000C662D"/>
    <w:rsid w:val="000C6796"/>
    <w:rsid w:val="000C7076"/>
    <w:rsid w:val="000C71BD"/>
    <w:rsid w:val="000C74F2"/>
    <w:rsid w:val="000C795B"/>
    <w:rsid w:val="000C7961"/>
    <w:rsid w:val="000C7E9B"/>
    <w:rsid w:val="000D00F8"/>
    <w:rsid w:val="000D0188"/>
    <w:rsid w:val="000D1059"/>
    <w:rsid w:val="000D15A1"/>
    <w:rsid w:val="000D17AF"/>
    <w:rsid w:val="000D2193"/>
    <w:rsid w:val="000D2677"/>
    <w:rsid w:val="000D2952"/>
    <w:rsid w:val="000D29F4"/>
    <w:rsid w:val="000D2CF4"/>
    <w:rsid w:val="000D2D05"/>
    <w:rsid w:val="000D2DE9"/>
    <w:rsid w:val="000D2DF6"/>
    <w:rsid w:val="000D2F4D"/>
    <w:rsid w:val="000D34A3"/>
    <w:rsid w:val="000D3566"/>
    <w:rsid w:val="000D365F"/>
    <w:rsid w:val="000D3F6A"/>
    <w:rsid w:val="000D4B4D"/>
    <w:rsid w:val="000D4B80"/>
    <w:rsid w:val="000D4BC3"/>
    <w:rsid w:val="000D4CB3"/>
    <w:rsid w:val="000D515B"/>
    <w:rsid w:val="000D555A"/>
    <w:rsid w:val="000D57BA"/>
    <w:rsid w:val="000D58D6"/>
    <w:rsid w:val="000D5BE8"/>
    <w:rsid w:val="000D734F"/>
    <w:rsid w:val="000D7477"/>
    <w:rsid w:val="000D7805"/>
    <w:rsid w:val="000D7EEB"/>
    <w:rsid w:val="000E0059"/>
    <w:rsid w:val="000E055B"/>
    <w:rsid w:val="000E058F"/>
    <w:rsid w:val="000E08B2"/>
    <w:rsid w:val="000E0D12"/>
    <w:rsid w:val="000E0DAA"/>
    <w:rsid w:val="000E0E1E"/>
    <w:rsid w:val="000E0EB5"/>
    <w:rsid w:val="000E0F3C"/>
    <w:rsid w:val="000E1495"/>
    <w:rsid w:val="000E193E"/>
    <w:rsid w:val="000E3036"/>
    <w:rsid w:val="000E38C5"/>
    <w:rsid w:val="000E3B60"/>
    <w:rsid w:val="000E3BAE"/>
    <w:rsid w:val="000E3E7A"/>
    <w:rsid w:val="000E4641"/>
    <w:rsid w:val="000E488C"/>
    <w:rsid w:val="000E4E2E"/>
    <w:rsid w:val="000E51BC"/>
    <w:rsid w:val="000E56E2"/>
    <w:rsid w:val="000E5739"/>
    <w:rsid w:val="000E5997"/>
    <w:rsid w:val="000E5A40"/>
    <w:rsid w:val="000E5B2A"/>
    <w:rsid w:val="000E5CCD"/>
    <w:rsid w:val="000E5D0D"/>
    <w:rsid w:val="000E60F8"/>
    <w:rsid w:val="000E6989"/>
    <w:rsid w:val="000E7209"/>
    <w:rsid w:val="000E7387"/>
    <w:rsid w:val="000E76E2"/>
    <w:rsid w:val="000E79A8"/>
    <w:rsid w:val="000E79C1"/>
    <w:rsid w:val="000E7AE8"/>
    <w:rsid w:val="000F049B"/>
    <w:rsid w:val="000F058D"/>
    <w:rsid w:val="000F0DA3"/>
    <w:rsid w:val="000F1214"/>
    <w:rsid w:val="000F19C1"/>
    <w:rsid w:val="000F2791"/>
    <w:rsid w:val="000F2939"/>
    <w:rsid w:val="000F2A25"/>
    <w:rsid w:val="000F2D5F"/>
    <w:rsid w:val="000F3450"/>
    <w:rsid w:val="000F3942"/>
    <w:rsid w:val="000F3AC7"/>
    <w:rsid w:val="000F3C87"/>
    <w:rsid w:val="000F41CA"/>
    <w:rsid w:val="000F4380"/>
    <w:rsid w:val="000F45C8"/>
    <w:rsid w:val="000F462B"/>
    <w:rsid w:val="000F4B0C"/>
    <w:rsid w:val="000F4CE8"/>
    <w:rsid w:val="000F4F51"/>
    <w:rsid w:val="000F5067"/>
    <w:rsid w:val="000F53ED"/>
    <w:rsid w:val="000F55E5"/>
    <w:rsid w:val="000F580D"/>
    <w:rsid w:val="000F5965"/>
    <w:rsid w:val="000F62DA"/>
    <w:rsid w:val="000F794A"/>
    <w:rsid w:val="000F7C74"/>
    <w:rsid w:val="00100404"/>
    <w:rsid w:val="001009C9"/>
    <w:rsid w:val="00100D98"/>
    <w:rsid w:val="00100FAB"/>
    <w:rsid w:val="001012BA"/>
    <w:rsid w:val="001015F9"/>
    <w:rsid w:val="001016EC"/>
    <w:rsid w:val="00101781"/>
    <w:rsid w:val="0010198B"/>
    <w:rsid w:val="00101A90"/>
    <w:rsid w:val="00101FE5"/>
    <w:rsid w:val="0010220A"/>
    <w:rsid w:val="00102276"/>
    <w:rsid w:val="001023B3"/>
    <w:rsid w:val="001030E8"/>
    <w:rsid w:val="00103354"/>
    <w:rsid w:val="00103537"/>
    <w:rsid w:val="00103988"/>
    <w:rsid w:val="00103E94"/>
    <w:rsid w:val="00103FCC"/>
    <w:rsid w:val="001043AB"/>
    <w:rsid w:val="001057E4"/>
    <w:rsid w:val="00105B90"/>
    <w:rsid w:val="00105C3B"/>
    <w:rsid w:val="00105CC5"/>
    <w:rsid w:val="00105EBF"/>
    <w:rsid w:val="00105FFE"/>
    <w:rsid w:val="001068D2"/>
    <w:rsid w:val="0010690C"/>
    <w:rsid w:val="00106959"/>
    <w:rsid w:val="001069AF"/>
    <w:rsid w:val="00106B8A"/>
    <w:rsid w:val="00106D16"/>
    <w:rsid w:val="00106E19"/>
    <w:rsid w:val="00106EF4"/>
    <w:rsid w:val="0010734F"/>
    <w:rsid w:val="00107432"/>
    <w:rsid w:val="00107A66"/>
    <w:rsid w:val="00107B97"/>
    <w:rsid w:val="00107D8A"/>
    <w:rsid w:val="001100B3"/>
    <w:rsid w:val="00110318"/>
    <w:rsid w:val="001107CB"/>
    <w:rsid w:val="001108D7"/>
    <w:rsid w:val="001111A3"/>
    <w:rsid w:val="00111626"/>
    <w:rsid w:val="00111D58"/>
    <w:rsid w:val="00112008"/>
    <w:rsid w:val="00112A52"/>
    <w:rsid w:val="00112EB2"/>
    <w:rsid w:val="00113615"/>
    <w:rsid w:val="00113A1E"/>
    <w:rsid w:val="00113D53"/>
    <w:rsid w:val="00114083"/>
    <w:rsid w:val="0011428C"/>
    <w:rsid w:val="0011429F"/>
    <w:rsid w:val="001142BF"/>
    <w:rsid w:val="001144CE"/>
    <w:rsid w:val="00114548"/>
    <w:rsid w:val="00114555"/>
    <w:rsid w:val="001147A1"/>
    <w:rsid w:val="00114B99"/>
    <w:rsid w:val="00115772"/>
    <w:rsid w:val="00115AE0"/>
    <w:rsid w:val="00116127"/>
    <w:rsid w:val="00116A12"/>
    <w:rsid w:val="00117AC8"/>
    <w:rsid w:val="00117DB5"/>
    <w:rsid w:val="001200AF"/>
    <w:rsid w:val="001203D8"/>
    <w:rsid w:val="00120601"/>
    <w:rsid w:val="001209E8"/>
    <w:rsid w:val="00120BFC"/>
    <w:rsid w:val="00120FEC"/>
    <w:rsid w:val="00121349"/>
    <w:rsid w:val="001214B6"/>
    <w:rsid w:val="00121649"/>
    <w:rsid w:val="00121A26"/>
    <w:rsid w:val="00121E60"/>
    <w:rsid w:val="00122298"/>
    <w:rsid w:val="0012258B"/>
    <w:rsid w:val="00122981"/>
    <w:rsid w:val="00122F2F"/>
    <w:rsid w:val="00122FDE"/>
    <w:rsid w:val="0012357F"/>
    <w:rsid w:val="00123CB6"/>
    <w:rsid w:val="00124319"/>
    <w:rsid w:val="00125827"/>
    <w:rsid w:val="0012656D"/>
    <w:rsid w:val="00126E0E"/>
    <w:rsid w:val="00126FD5"/>
    <w:rsid w:val="001273C0"/>
    <w:rsid w:val="00127460"/>
    <w:rsid w:val="0012763E"/>
    <w:rsid w:val="001276C3"/>
    <w:rsid w:val="0012782F"/>
    <w:rsid w:val="0012783A"/>
    <w:rsid w:val="00127FBD"/>
    <w:rsid w:val="00130495"/>
    <w:rsid w:val="001309AB"/>
    <w:rsid w:val="00130BCE"/>
    <w:rsid w:val="001313C1"/>
    <w:rsid w:val="00131669"/>
    <w:rsid w:val="001318FD"/>
    <w:rsid w:val="00131ABF"/>
    <w:rsid w:val="00131D6C"/>
    <w:rsid w:val="00131D79"/>
    <w:rsid w:val="001323BD"/>
    <w:rsid w:val="00132DC4"/>
    <w:rsid w:val="00133083"/>
    <w:rsid w:val="00133C2F"/>
    <w:rsid w:val="0013422C"/>
    <w:rsid w:val="00134770"/>
    <w:rsid w:val="0013499D"/>
    <w:rsid w:val="00135143"/>
    <w:rsid w:val="00135308"/>
    <w:rsid w:val="001359D4"/>
    <w:rsid w:val="00135A1B"/>
    <w:rsid w:val="00135FB7"/>
    <w:rsid w:val="0013608E"/>
    <w:rsid w:val="00136243"/>
    <w:rsid w:val="00136F6F"/>
    <w:rsid w:val="00136F81"/>
    <w:rsid w:val="001375AC"/>
    <w:rsid w:val="001375B4"/>
    <w:rsid w:val="001401B1"/>
    <w:rsid w:val="001408F3"/>
    <w:rsid w:val="00141216"/>
    <w:rsid w:val="0014145A"/>
    <w:rsid w:val="00141467"/>
    <w:rsid w:val="0014161C"/>
    <w:rsid w:val="0014189B"/>
    <w:rsid w:val="00141CCF"/>
    <w:rsid w:val="00141D10"/>
    <w:rsid w:val="001427D5"/>
    <w:rsid w:val="00143321"/>
    <w:rsid w:val="00143517"/>
    <w:rsid w:val="00143578"/>
    <w:rsid w:val="001440DB"/>
    <w:rsid w:val="00144147"/>
    <w:rsid w:val="00144962"/>
    <w:rsid w:val="00144D8F"/>
    <w:rsid w:val="0014560C"/>
    <w:rsid w:val="00145AE6"/>
    <w:rsid w:val="0014637C"/>
    <w:rsid w:val="00146B11"/>
    <w:rsid w:val="00146C6D"/>
    <w:rsid w:val="00146E1A"/>
    <w:rsid w:val="001470BF"/>
    <w:rsid w:val="0014747D"/>
    <w:rsid w:val="001479E4"/>
    <w:rsid w:val="00147A6B"/>
    <w:rsid w:val="00147BFA"/>
    <w:rsid w:val="00147D82"/>
    <w:rsid w:val="00147F55"/>
    <w:rsid w:val="001500AB"/>
    <w:rsid w:val="001504EE"/>
    <w:rsid w:val="00150748"/>
    <w:rsid w:val="001512E2"/>
    <w:rsid w:val="00151A60"/>
    <w:rsid w:val="0015220B"/>
    <w:rsid w:val="00152237"/>
    <w:rsid w:val="0015275F"/>
    <w:rsid w:val="00152BD7"/>
    <w:rsid w:val="00152BDF"/>
    <w:rsid w:val="00153096"/>
    <w:rsid w:val="00153192"/>
    <w:rsid w:val="00153921"/>
    <w:rsid w:val="00153B8C"/>
    <w:rsid w:val="00153BAA"/>
    <w:rsid w:val="00153D01"/>
    <w:rsid w:val="0015408D"/>
    <w:rsid w:val="00154995"/>
    <w:rsid w:val="00154AFD"/>
    <w:rsid w:val="0015532C"/>
    <w:rsid w:val="00155803"/>
    <w:rsid w:val="001559F9"/>
    <w:rsid w:val="00155DDA"/>
    <w:rsid w:val="001560C9"/>
    <w:rsid w:val="001565F1"/>
    <w:rsid w:val="001574E6"/>
    <w:rsid w:val="00157E39"/>
    <w:rsid w:val="0016015D"/>
    <w:rsid w:val="001604DC"/>
    <w:rsid w:val="001604E9"/>
    <w:rsid w:val="001605C0"/>
    <w:rsid w:val="00160BA5"/>
    <w:rsid w:val="001610AF"/>
    <w:rsid w:val="0016130F"/>
    <w:rsid w:val="001613DC"/>
    <w:rsid w:val="001614F2"/>
    <w:rsid w:val="00161C57"/>
    <w:rsid w:val="0016201B"/>
    <w:rsid w:val="001623FA"/>
    <w:rsid w:val="0016259E"/>
    <w:rsid w:val="001628C8"/>
    <w:rsid w:val="00162970"/>
    <w:rsid w:val="00162A95"/>
    <w:rsid w:val="0016346E"/>
    <w:rsid w:val="00163B12"/>
    <w:rsid w:val="00163DED"/>
    <w:rsid w:val="0016405A"/>
    <w:rsid w:val="0016414B"/>
    <w:rsid w:val="00164250"/>
    <w:rsid w:val="00164331"/>
    <w:rsid w:val="001650AC"/>
    <w:rsid w:val="0016510F"/>
    <w:rsid w:val="00165B33"/>
    <w:rsid w:val="00165BF3"/>
    <w:rsid w:val="00165C20"/>
    <w:rsid w:val="00166CE0"/>
    <w:rsid w:val="00166E43"/>
    <w:rsid w:val="00166FAB"/>
    <w:rsid w:val="001672FB"/>
    <w:rsid w:val="001674F6"/>
    <w:rsid w:val="00167B5B"/>
    <w:rsid w:val="00167C01"/>
    <w:rsid w:val="00167F96"/>
    <w:rsid w:val="001701AC"/>
    <w:rsid w:val="001703DF"/>
    <w:rsid w:val="0017086E"/>
    <w:rsid w:val="001708EB"/>
    <w:rsid w:val="00170F9B"/>
    <w:rsid w:val="001718B6"/>
    <w:rsid w:val="001721DD"/>
    <w:rsid w:val="001728DE"/>
    <w:rsid w:val="00173552"/>
    <w:rsid w:val="00173633"/>
    <w:rsid w:val="00173790"/>
    <w:rsid w:val="00173979"/>
    <w:rsid w:val="00174404"/>
    <w:rsid w:val="00174CC9"/>
    <w:rsid w:val="00174F98"/>
    <w:rsid w:val="00175199"/>
    <w:rsid w:val="0017533D"/>
    <w:rsid w:val="001756B6"/>
    <w:rsid w:val="00175DBD"/>
    <w:rsid w:val="001765BE"/>
    <w:rsid w:val="00176A38"/>
    <w:rsid w:val="00177A7B"/>
    <w:rsid w:val="00180159"/>
    <w:rsid w:val="00180370"/>
    <w:rsid w:val="00180579"/>
    <w:rsid w:val="0018117D"/>
    <w:rsid w:val="001814B1"/>
    <w:rsid w:val="00181854"/>
    <w:rsid w:val="00181AAA"/>
    <w:rsid w:val="00181AC7"/>
    <w:rsid w:val="00181E8C"/>
    <w:rsid w:val="001822D3"/>
    <w:rsid w:val="00182971"/>
    <w:rsid w:val="00182B79"/>
    <w:rsid w:val="00182E81"/>
    <w:rsid w:val="001832CB"/>
    <w:rsid w:val="001838CB"/>
    <w:rsid w:val="00183B3E"/>
    <w:rsid w:val="00183D01"/>
    <w:rsid w:val="00183EC1"/>
    <w:rsid w:val="00183EF6"/>
    <w:rsid w:val="00184554"/>
    <w:rsid w:val="001846A0"/>
    <w:rsid w:val="00184930"/>
    <w:rsid w:val="00185191"/>
    <w:rsid w:val="001864AB"/>
    <w:rsid w:val="00186ACF"/>
    <w:rsid w:val="00186D74"/>
    <w:rsid w:val="00186F1E"/>
    <w:rsid w:val="00190258"/>
    <w:rsid w:val="001906F4"/>
    <w:rsid w:val="00190C02"/>
    <w:rsid w:val="00190C51"/>
    <w:rsid w:val="00190FE8"/>
    <w:rsid w:val="00191BA7"/>
    <w:rsid w:val="0019223F"/>
    <w:rsid w:val="00192264"/>
    <w:rsid w:val="001927C6"/>
    <w:rsid w:val="001932CF"/>
    <w:rsid w:val="00193413"/>
    <w:rsid w:val="00193495"/>
    <w:rsid w:val="00193510"/>
    <w:rsid w:val="00193923"/>
    <w:rsid w:val="00193B3F"/>
    <w:rsid w:val="00193F01"/>
    <w:rsid w:val="00195129"/>
    <w:rsid w:val="00196244"/>
    <w:rsid w:val="00196269"/>
    <w:rsid w:val="00196296"/>
    <w:rsid w:val="001965C3"/>
    <w:rsid w:val="0019663D"/>
    <w:rsid w:val="00196B0B"/>
    <w:rsid w:val="00197385"/>
    <w:rsid w:val="00197631"/>
    <w:rsid w:val="001979A1"/>
    <w:rsid w:val="00197C75"/>
    <w:rsid w:val="001A0005"/>
    <w:rsid w:val="001A00C9"/>
    <w:rsid w:val="001A022D"/>
    <w:rsid w:val="001A06FB"/>
    <w:rsid w:val="001A14C8"/>
    <w:rsid w:val="001A16C4"/>
    <w:rsid w:val="001A1804"/>
    <w:rsid w:val="001A1C67"/>
    <w:rsid w:val="001A1D21"/>
    <w:rsid w:val="001A1E5E"/>
    <w:rsid w:val="001A20FB"/>
    <w:rsid w:val="001A2E9A"/>
    <w:rsid w:val="001A2EF4"/>
    <w:rsid w:val="001A30CA"/>
    <w:rsid w:val="001A3807"/>
    <w:rsid w:val="001A3DAA"/>
    <w:rsid w:val="001A4726"/>
    <w:rsid w:val="001A47B1"/>
    <w:rsid w:val="001A4D7B"/>
    <w:rsid w:val="001A5253"/>
    <w:rsid w:val="001A5694"/>
    <w:rsid w:val="001A65FA"/>
    <w:rsid w:val="001A6717"/>
    <w:rsid w:val="001A683F"/>
    <w:rsid w:val="001A6FDA"/>
    <w:rsid w:val="001A708A"/>
    <w:rsid w:val="001A70BA"/>
    <w:rsid w:val="001A7138"/>
    <w:rsid w:val="001A72DA"/>
    <w:rsid w:val="001A7605"/>
    <w:rsid w:val="001A76BF"/>
    <w:rsid w:val="001A7B54"/>
    <w:rsid w:val="001A7B66"/>
    <w:rsid w:val="001B06D8"/>
    <w:rsid w:val="001B06F9"/>
    <w:rsid w:val="001B0B04"/>
    <w:rsid w:val="001B0E2C"/>
    <w:rsid w:val="001B1571"/>
    <w:rsid w:val="001B1821"/>
    <w:rsid w:val="001B1E40"/>
    <w:rsid w:val="001B21B7"/>
    <w:rsid w:val="001B285E"/>
    <w:rsid w:val="001B2897"/>
    <w:rsid w:val="001B2958"/>
    <w:rsid w:val="001B29CF"/>
    <w:rsid w:val="001B2B19"/>
    <w:rsid w:val="001B2CE4"/>
    <w:rsid w:val="001B2E72"/>
    <w:rsid w:val="001B3718"/>
    <w:rsid w:val="001B3A8F"/>
    <w:rsid w:val="001B3C38"/>
    <w:rsid w:val="001B3C43"/>
    <w:rsid w:val="001B3FE3"/>
    <w:rsid w:val="001B423D"/>
    <w:rsid w:val="001B4D15"/>
    <w:rsid w:val="001B55B2"/>
    <w:rsid w:val="001B5DC7"/>
    <w:rsid w:val="001B61DF"/>
    <w:rsid w:val="001B631F"/>
    <w:rsid w:val="001B65C3"/>
    <w:rsid w:val="001B676F"/>
    <w:rsid w:val="001B67A5"/>
    <w:rsid w:val="001B6A91"/>
    <w:rsid w:val="001B6D43"/>
    <w:rsid w:val="001B71EE"/>
    <w:rsid w:val="001B7969"/>
    <w:rsid w:val="001B7BC8"/>
    <w:rsid w:val="001C0194"/>
    <w:rsid w:val="001C0332"/>
    <w:rsid w:val="001C0450"/>
    <w:rsid w:val="001C0F2D"/>
    <w:rsid w:val="001C0FBC"/>
    <w:rsid w:val="001C19CB"/>
    <w:rsid w:val="001C1B0B"/>
    <w:rsid w:val="001C1D66"/>
    <w:rsid w:val="001C1F0C"/>
    <w:rsid w:val="001C236C"/>
    <w:rsid w:val="001C2953"/>
    <w:rsid w:val="001C29A0"/>
    <w:rsid w:val="001C2DA4"/>
    <w:rsid w:val="001C2E49"/>
    <w:rsid w:val="001C336B"/>
    <w:rsid w:val="001C34B5"/>
    <w:rsid w:val="001C353B"/>
    <w:rsid w:val="001C3932"/>
    <w:rsid w:val="001C3AE9"/>
    <w:rsid w:val="001C3BBF"/>
    <w:rsid w:val="001C3C74"/>
    <w:rsid w:val="001C3CED"/>
    <w:rsid w:val="001C3E21"/>
    <w:rsid w:val="001C3EA4"/>
    <w:rsid w:val="001C41AB"/>
    <w:rsid w:val="001C46CE"/>
    <w:rsid w:val="001C4A85"/>
    <w:rsid w:val="001C4E87"/>
    <w:rsid w:val="001C508F"/>
    <w:rsid w:val="001C5217"/>
    <w:rsid w:val="001C54EC"/>
    <w:rsid w:val="001C55F6"/>
    <w:rsid w:val="001C5F1C"/>
    <w:rsid w:val="001C6301"/>
    <w:rsid w:val="001C677D"/>
    <w:rsid w:val="001C709A"/>
    <w:rsid w:val="001C7576"/>
    <w:rsid w:val="001C76CC"/>
    <w:rsid w:val="001C788D"/>
    <w:rsid w:val="001D0130"/>
    <w:rsid w:val="001D016C"/>
    <w:rsid w:val="001D034B"/>
    <w:rsid w:val="001D10C0"/>
    <w:rsid w:val="001D1179"/>
    <w:rsid w:val="001D17CB"/>
    <w:rsid w:val="001D1A94"/>
    <w:rsid w:val="001D1C90"/>
    <w:rsid w:val="001D1C9B"/>
    <w:rsid w:val="001D1D27"/>
    <w:rsid w:val="001D2C47"/>
    <w:rsid w:val="001D2C62"/>
    <w:rsid w:val="001D37C1"/>
    <w:rsid w:val="001D3F63"/>
    <w:rsid w:val="001D41AC"/>
    <w:rsid w:val="001D47C7"/>
    <w:rsid w:val="001D4B18"/>
    <w:rsid w:val="001D54E4"/>
    <w:rsid w:val="001D6D16"/>
    <w:rsid w:val="001D708B"/>
    <w:rsid w:val="001D7269"/>
    <w:rsid w:val="001D73AE"/>
    <w:rsid w:val="001D758E"/>
    <w:rsid w:val="001E06F3"/>
    <w:rsid w:val="001E0870"/>
    <w:rsid w:val="001E0EF9"/>
    <w:rsid w:val="001E130A"/>
    <w:rsid w:val="001E13D9"/>
    <w:rsid w:val="001E13DE"/>
    <w:rsid w:val="001E1AAB"/>
    <w:rsid w:val="001E1FE1"/>
    <w:rsid w:val="001E221A"/>
    <w:rsid w:val="001E2C3C"/>
    <w:rsid w:val="001E3041"/>
    <w:rsid w:val="001E331B"/>
    <w:rsid w:val="001E390B"/>
    <w:rsid w:val="001E40E6"/>
    <w:rsid w:val="001E4277"/>
    <w:rsid w:val="001E4671"/>
    <w:rsid w:val="001E4B95"/>
    <w:rsid w:val="001E4C34"/>
    <w:rsid w:val="001E4D39"/>
    <w:rsid w:val="001E4E3D"/>
    <w:rsid w:val="001E5588"/>
    <w:rsid w:val="001E599B"/>
    <w:rsid w:val="001E5D28"/>
    <w:rsid w:val="001E62DA"/>
    <w:rsid w:val="001E65F7"/>
    <w:rsid w:val="001E7182"/>
    <w:rsid w:val="001E71BF"/>
    <w:rsid w:val="001E7E64"/>
    <w:rsid w:val="001F00C4"/>
    <w:rsid w:val="001F07B8"/>
    <w:rsid w:val="001F0FAB"/>
    <w:rsid w:val="001F135F"/>
    <w:rsid w:val="001F144F"/>
    <w:rsid w:val="001F1791"/>
    <w:rsid w:val="001F194A"/>
    <w:rsid w:val="001F1968"/>
    <w:rsid w:val="001F1AB6"/>
    <w:rsid w:val="001F1BB6"/>
    <w:rsid w:val="001F2354"/>
    <w:rsid w:val="001F25FC"/>
    <w:rsid w:val="001F2638"/>
    <w:rsid w:val="001F265E"/>
    <w:rsid w:val="001F2CA2"/>
    <w:rsid w:val="001F2E5B"/>
    <w:rsid w:val="001F3125"/>
    <w:rsid w:val="001F3668"/>
    <w:rsid w:val="001F3B9A"/>
    <w:rsid w:val="001F3D1E"/>
    <w:rsid w:val="001F43AE"/>
    <w:rsid w:val="001F488D"/>
    <w:rsid w:val="001F4E44"/>
    <w:rsid w:val="001F5147"/>
    <w:rsid w:val="001F5A10"/>
    <w:rsid w:val="001F6411"/>
    <w:rsid w:val="001F66A7"/>
    <w:rsid w:val="001F67A2"/>
    <w:rsid w:val="001F7025"/>
    <w:rsid w:val="001F7159"/>
    <w:rsid w:val="001F71DC"/>
    <w:rsid w:val="001F7309"/>
    <w:rsid w:val="001F742E"/>
    <w:rsid w:val="001F795A"/>
    <w:rsid w:val="001F7E01"/>
    <w:rsid w:val="00200036"/>
    <w:rsid w:val="00200099"/>
    <w:rsid w:val="0020052E"/>
    <w:rsid w:val="002005A3"/>
    <w:rsid w:val="002005AD"/>
    <w:rsid w:val="002006B9"/>
    <w:rsid w:val="002010C5"/>
    <w:rsid w:val="0020110D"/>
    <w:rsid w:val="00201159"/>
    <w:rsid w:val="0020176B"/>
    <w:rsid w:val="002018EA"/>
    <w:rsid w:val="00201941"/>
    <w:rsid w:val="0020195F"/>
    <w:rsid w:val="002019BE"/>
    <w:rsid w:val="002019FF"/>
    <w:rsid w:val="00201C51"/>
    <w:rsid w:val="00201CD8"/>
    <w:rsid w:val="0020227E"/>
    <w:rsid w:val="00203326"/>
    <w:rsid w:val="00203672"/>
    <w:rsid w:val="00203ADF"/>
    <w:rsid w:val="00203C5B"/>
    <w:rsid w:val="002043B3"/>
    <w:rsid w:val="00204580"/>
    <w:rsid w:val="002049C5"/>
    <w:rsid w:val="00205055"/>
    <w:rsid w:val="00205BCA"/>
    <w:rsid w:val="0020607F"/>
    <w:rsid w:val="00206722"/>
    <w:rsid w:val="00206BA3"/>
    <w:rsid w:val="00206DBE"/>
    <w:rsid w:val="0020712A"/>
    <w:rsid w:val="002072B5"/>
    <w:rsid w:val="00207811"/>
    <w:rsid w:val="00210490"/>
    <w:rsid w:val="00210821"/>
    <w:rsid w:val="00210ABD"/>
    <w:rsid w:val="00210CD5"/>
    <w:rsid w:val="00211AE8"/>
    <w:rsid w:val="002121D2"/>
    <w:rsid w:val="0021268B"/>
    <w:rsid w:val="00212905"/>
    <w:rsid w:val="002131CF"/>
    <w:rsid w:val="002131FE"/>
    <w:rsid w:val="00213435"/>
    <w:rsid w:val="00213F42"/>
    <w:rsid w:val="0021423B"/>
    <w:rsid w:val="002147BD"/>
    <w:rsid w:val="00214947"/>
    <w:rsid w:val="00215937"/>
    <w:rsid w:val="002159F6"/>
    <w:rsid w:val="0021611E"/>
    <w:rsid w:val="00216846"/>
    <w:rsid w:val="0021699A"/>
    <w:rsid w:val="00216CDE"/>
    <w:rsid w:val="00216D1A"/>
    <w:rsid w:val="00216E57"/>
    <w:rsid w:val="00216FC2"/>
    <w:rsid w:val="002171B6"/>
    <w:rsid w:val="0021724C"/>
    <w:rsid w:val="002174ED"/>
    <w:rsid w:val="00217A54"/>
    <w:rsid w:val="00217C88"/>
    <w:rsid w:val="00217D1E"/>
    <w:rsid w:val="00220281"/>
    <w:rsid w:val="0022065E"/>
    <w:rsid w:val="002207A9"/>
    <w:rsid w:val="00220900"/>
    <w:rsid w:val="002212A3"/>
    <w:rsid w:val="00221DB6"/>
    <w:rsid w:val="00222047"/>
    <w:rsid w:val="00222182"/>
    <w:rsid w:val="00222586"/>
    <w:rsid w:val="00222AA5"/>
    <w:rsid w:val="0022319A"/>
    <w:rsid w:val="00223887"/>
    <w:rsid w:val="002240B7"/>
    <w:rsid w:val="00224D47"/>
    <w:rsid w:val="00224EFE"/>
    <w:rsid w:val="00225339"/>
    <w:rsid w:val="0022594D"/>
    <w:rsid w:val="00225A9A"/>
    <w:rsid w:val="00225C31"/>
    <w:rsid w:val="002260FB"/>
    <w:rsid w:val="00227028"/>
    <w:rsid w:val="00227041"/>
    <w:rsid w:val="002272A3"/>
    <w:rsid w:val="0022750D"/>
    <w:rsid w:val="002302B8"/>
    <w:rsid w:val="00230328"/>
    <w:rsid w:val="002303FC"/>
    <w:rsid w:val="0023095F"/>
    <w:rsid w:val="00230F64"/>
    <w:rsid w:val="00230F8E"/>
    <w:rsid w:val="002316AF"/>
    <w:rsid w:val="0023226A"/>
    <w:rsid w:val="00232937"/>
    <w:rsid w:val="00233216"/>
    <w:rsid w:val="0023357F"/>
    <w:rsid w:val="002338A1"/>
    <w:rsid w:val="002338DE"/>
    <w:rsid w:val="00234118"/>
    <w:rsid w:val="00234332"/>
    <w:rsid w:val="0023437E"/>
    <w:rsid w:val="00235297"/>
    <w:rsid w:val="002352FA"/>
    <w:rsid w:val="0023542F"/>
    <w:rsid w:val="00235A61"/>
    <w:rsid w:val="00235C4F"/>
    <w:rsid w:val="00236A70"/>
    <w:rsid w:val="0023749B"/>
    <w:rsid w:val="002375A0"/>
    <w:rsid w:val="00237978"/>
    <w:rsid w:val="002400B8"/>
    <w:rsid w:val="00240382"/>
    <w:rsid w:val="00240BCF"/>
    <w:rsid w:val="002410AF"/>
    <w:rsid w:val="00241428"/>
    <w:rsid w:val="00241496"/>
    <w:rsid w:val="002415CC"/>
    <w:rsid w:val="00241721"/>
    <w:rsid w:val="00241AC2"/>
    <w:rsid w:val="00241DF5"/>
    <w:rsid w:val="00242D1F"/>
    <w:rsid w:val="00242F33"/>
    <w:rsid w:val="00243641"/>
    <w:rsid w:val="00243DA8"/>
    <w:rsid w:val="0024408C"/>
    <w:rsid w:val="002440D9"/>
    <w:rsid w:val="00244A1B"/>
    <w:rsid w:val="002451BB"/>
    <w:rsid w:val="002453DC"/>
    <w:rsid w:val="002455E0"/>
    <w:rsid w:val="002455E8"/>
    <w:rsid w:val="002457E2"/>
    <w:rsid w:val="00245D53"/>
    <w:rsid w:val="00245F2A"/>
    <w:rsid w:val="00246818"/>
    <w:rsid w:val="00246F23"/>
    <w:rsid w:val="002470D4"/>
    <w:rsid w:val="002471A8"/>
    <w:rsid w:val="00247865"/>
    <w:rsid w:val="00247EFA"/>
    <w:rsid w:val="00250228"/>
    <w:rsid w:val="002505AC"/>
    <w:rsid w:val="002509DF"/>
    <w:rsid w:val="00250EA9"/>
    <w:rsid w:val="00250FD6"/>
    <w:rsid w:val="0025123E"/>
    <w:rsid w:val="0025138D"/>
    <w:rsid w:val="0025146C"/>
    <w:rsid w:val="00251A72"/>
    <w:rsid w:val="00251F21"/>
    <w:rsid w:val="00252321"/>
    <w:rsid w:val="00252357"/>
    <w:rsid w:val="00252883"/>
    <w:rsid w:val="002528E3"/>
    <w:rsid w:val="00252A0E"/>
    <w:rsid w:val="00252AFC"/>
    <w:rsid w:val="00252B1C"/>
    <w:rsid w:val="00253322"/>
    <w:rsid w:val="00253436"/>
    <w:rsid w:val="00253456"/>
    <w:rsid w:val="00253C9B"/>
    <w:rsid w:val="00253CD8"/>
    <w:rsid w:val="0025508B"/>
    <w:rsid w:val="002551BA"/>
    <w:rsid w:val="00255FBE"/>
    <w:rsid w:val="002566E6"/>
    <w:rsid w:val="002569AC"/>
    <w:rsid w:val="002575D9"/>
    <w:rsid w:val="00260D4E"/>
    <w:rsid w:val="00260DF8"/>
    <w:rsid w:val="0026147D"/>
    <w:rsid w:val="00261640"/>
    <w:rsid w:val="00261B47"/>
    <w:rsid w:val="00261BEE"/>
    <w:rsid w:val="00261DEB"/>
    <w:rsid w:val="002623AC"/>
    <w:rsid w:val="002628E1"/>
    <w:rsid w:val="00262E84"/>
    <w:rsid w:val="002630A4"/>
    <w:rsid w:val="002634CC"/>
    <w:rsid w:val="00263E10"/>
    <w:rsid w:val="00263E7C"/>
    <w:rsid w:val="00264074"/>
    <w:rsid w:val="002645AE"/>
    <w:rsid w:val="00264727"/>
    <w:rsid w:val="002647BF"/>
    <w:rsid w:val="00264A75"/>
    <w:rsid w:val="00264DDD"/>
    <w:rsid w:val="00264E6D"/>
    <w:rsid w:val="00266132"/>
    <w:rsid w:val="0026632E"/>
    <w:rsid w:val="002663D9"/>
    <w:rsid w:val="002665F4"/>
    <w:rsid w:val="00266606"/>
    <w:rsid w:val="002666B9"/>
    <w:rsid w:val="00267193"/>
    <w:rsid w:val="00267786"/>
    <w:rsid w:val="00267974"/>
    <w:rsid w:val="0026799E"/>
    <w:rsid w:val="002700BC"/>
    <w:rsid w:val="002706F9"/>
    <w:rsid w:val="002707C8"/>
    <w:rsid w:val="002710C2"/>
    <w:rsid w:val="00271377"/>
    <w:rsid w:val="00271558"/>
    <w:rsid w:val="00271ADE"/>
    <w:rsid w:val="00272ED5"/>
    <w:rsid w:val="00272F45"/>
    <w:rsid w:val="00273108"/>
    <w:rsid w:val="00273363"/>
    <w:rsid w:val="002736D5"/>
    <w:rsid w:val="0027445C"/>
    <w:rsid w:val="0027513B"/>
    <w:rsid w:val="00275731"/>
    <w:rsid w:val="00275794"/>
    <w:rsid w:val="00275E1B"/>
    <w:rsid w:val="00275E3C"/>
    <w:rsid w:val="002760BC"/>
    <w:rsid w:val="0027627E"/>
    <w:rsid w:val="00276BE8"/>
    <w:rsid w:val="00276CEB"/>
    <w:rsid w:val="0027790A"/>
    <w:rsid w:val="0028022D"/>
    <w:rsid w:val="002808AA"/>
    <w:rsid w:val="002809B2"/>
    <w:rsid w:val="002809E9"/>
    <w:rsid w:val="00280D80"/>
    <w:rsid w:val="002813A3"/>
    <w:rsid w:val="002813C1"/>
    <w:rsid w:val="002819CA"/>
    <w:rsid w:val="00281A49"/>
    <w:rsid w:val="0028215F"/>
    <w:rsid w:val="00282253"/>
    <w:rsid w:val="002824AC"/>
    <w:rsid w:val="0028273D"/>
    <w:rsid w:val="0028289F"/>
    <w:rsid w:val="00282A41"/>
    <w:rsid w:val="00282CA6"/>
    <w:rsid w:val="0028329E"/>
    <w:rsid w:val="0028395D"/>
    <w:rsid w:val="0028426F"/>
    <w:rsid w:val="00284D8C"/>
    <w:rsid w:val="00284EDF"/>
    <w:rsid w:val="00284EEB"/>
    <w:rsid w:val="0028502D"/>
    <w:rsid w:val="0028513C"/>
    <w:rsid w:val="002851AE"/>
    <w:rsid w:val="00285650"/>
    <w:rsid w:val="00285D52"/>
    <w:rsid w:val="00286016"/>
    <w:rsid w:val="002860D8"/>
    <w:rsid w:val="002863BF"/>
    <w:rsid w:val="00286939"/>
    <w:rsid w:val="00286B2D"/>
    <w:rsid w:val="00286D97"/>
    <w:rsid w:val="0028717E"/>
    <w:rsid w:val="00287315"/>
    <w:rsid w:val="0028734C"/>
    <w:rsid w:val="00287733"/>
    <w:rsid w:val="002877F0"/>
    <w:rsid w:val="0029018F"/>
    <w:rsid w:val="0029071C"/>
    <w:rsid w:val="0029099A"/>
    <w:rsid w:val="0029111B"/>
    <w:rsid w:val="00291993"/>
    <w:rsid w:val="00292383"/>
    <w:rsid w:val="00292BAC"/>
    <w:rsid w:val="00292CFB"/>
    <w:rsid w:val="00292F02"/>
    <w:rsid w:val="00293196"/>
    <w:rsid w:val="002939FA"/>
    <w:rsid w:val="002948C9"/>
    <w:rsid w:val="00294990"/>
    <w:rsid w:val="00294A65"/>
    <w:rsid w:val="00294F15"/>
    <w:rsid w:val="00295600"/>
    <w:rsid w:val="00295BC2"/>
    <w:rsid w:val="002968B3"/>
    <w:rsid w:val="002968F0"/>
    <w:rsid w:val="00296DF9"/>
    <w:rsid w:val="00296E13"/>
    <w:rsid w:val="00296FB9"/>
    <w:rsid w:val="00297B84"/>
    <w:rsid w:val="00297EA1"/>
    <w:rsid w:val="002A01D5"/>
    <w:rsid w:val="002A052B"/>
    <w:rsid w:val="002A0610"/>
    <w:rsid w:val="002A06CC"/>
    <w:rsid w:val="002A0AB8"/>
    <w:rsid w:val="002A0BCF"/>
    <w:rsid w:val="002A0E66"/>
    <w:rsid w:val="002A1666"/>
    <w:rsid w:val="002A1982"/>
    <w:rsid w:val="002A26FE"/>
    <w:rsid w:val="002A3AA8"/>
    <w:rsid w:val="002A4680"/>
    <w:rsid w:val="002A5BBD"/>
    <w:rsid w:val="002A5E45"/>
    <w:rsid w:val="002A60BD"/>
    <w:rsid w:val="002A6112"/>
    <w:rsid w:val="002A6968"/>
    <w:rsid w:val="002A6C69"/>
    <w:rsid w:val="002B07C9"/>
    <w:rsid w:val="002B0811"/>
    <w:rsid w:val="002B092D"/>
    <w:rsid w:val="002B0AEE"/>
    <w:rsid w:val="002B209D"/>
    <w:rsid w:val="002B2273"/>
    <w:rsid w:val="002B2594"/>
    <w:rsid w:val="002B2869"/>
    <w:rsid w:val="002B2A4F"/>
    <w:rsid w:val="002B2AFD"/>
    <w:rsid w:val="002B2B84"/>
    <w:rsid w:val="002B2D17"/>
    <w:rsid w:val="002B316B"/>
    <w:rsid w:val="002B4EDF"/>
    <w:rsid w:val="002B4F4E"/>
    <w:rsid w:val="002B5BDD"/>
    <w:rsid w:val="002B5C31"/>
    <w:rsid w:val="002B5F1D"/>
    <w:rsid w:val="002B6246"/>
    <w:rsid w:val="002B6254"/>
    <w:rsid w:val="002B6416"/>
    <w:rsid w:val="002B650E"/>
    <w:rsid w:val="002B69F7"/>
    <w:rsid w:val="002B6CF8"/>
    <w:rsid w:val="002B716A"/>
    <w:rsid w:val="002B75BA"/>
    <w:rsid w:val="002B762F"/>
    <w:rsid w:val="002B7650"/>
    <w:rsid w:val="002B7857"/>
    <w:rsid w:val="002B7931"/>
    <w:rsid w:val="002B7AC2"/>
    <w:rsid w:val="002C0250"/>
    <w:rsid w:val="002C0AB6"/>
    <w:rsid w:val="002C0E86"/>
    <w:rsid w:val="002C0FC5"/>
    <w:rsid w:val="002C1946"/>
    <w:rsid w:val="002C1DC7"/>
    <w:rsid w:val="002C2027"/>
    <w:rsid w:val="002C2A89"/>
    <w:rsid w:val="002C33C1"/>
    <w:rsid w:val="002C3498"/>
    <w:rsid w:val="002C354E"/>
    <w:rsid w:val="002C3671"/>
    <w:rsid w:val="002C3755"/>
    <w:rsid w:val="002C43F6"/>
    <w:rsid w:val="002C4AFB"/>
    <w:rsid w:val="002C53CC"/>
    <w:rsid w:val="002C54CB"/>
    <w:rsid w:val="002C5875"/>
    <w:rsid w:val="002C5A51"/>
    <w:rsid w:val="002C61E5"/>
    <w:rsid w:val="002C64A2"/>
    <w:rsid w:val="002C66E8"/>
    <w:rsid w:val="002C76BD"/>
    <w:rsid w:val="002C7FB8"/>
    <w:rsid w:val="002D02BD"/>
    <w:rsid w:val="002D03CF"/>
    <w:rsid w:val="002D05A5"/>
    <w:rsid w:val="002D0BE6"/>
    <w:rsid w:val="002D1182"/>
    <w:rsid w:val="002D1469"/>
    <w:rsid w:val="002D1632"/>
    <w:rsid w:val="002D1930"/>
    <w:rsid w:val="002D1B04"/>
    <w:rsid w:val="002D1DB8"/>
    <w:rsid w:val="002D1E9B"/>
    <w:rsid w:val="002D277A"/>
    <w:rsid w:val="002D32C9"/>
    <w:rsid w:val="002D3612"/>
    <w:rsid w:val="002D4191"/>
    <w:rsid w:val="002D4A52"/>
    <w:rsid w:val="002D4A5A"/>
    <w:rsid w:val="002D4AEA"/>
    <w:rsid w:val="002D5151"/>
    <w:rsid w:val="002D5BC9"/>
    <w:rsid w:val="002D5DEA"/>
    <w:rsid w:val="002D5E21"/>
    <w:rsid w:val="002D64C8"/>
    <w:rsid w:val="002D655D"/>
    <w:rsid w:val="002D72BD"/>
    <w:rsid w:val="002D7A60"/>
    <w:rsid w:val="002D7AF6"/>
    <w:rsid w:val="002E0416"/>
    <w:rsid w:val="002E0465"/>
    <w:rsid w:val="002E057D"/>
    <w:rsid w:val="002E0A4A"/>
    <w:rsid w:val="002E1015"/>
    <w:rsid w:val="002E109C"/>
    <w:rsid w:val="002E1401"/>
    <w:rsid w:val="002E1903"/>
    <w:rsid w:val="002E19AD"/>
    <w:rsid w:val="002E1E22"/>
    <w:rsid w:val="002E2176"/>
    <w:rsid w:val="002E2221"/>
    <w:rsid w:val="002E2298"/>
    <w:rsid w:val="002E2437"/>
    <w:rsid w:val="002E2464"/>
    <w:rsid w:val="002E30D7"/>
    <w:rsid w:val="002E350E"/>
    <w:rsid w:val="002E3916"/>
    <w:rsid w:val="002E3C2D"/>
    <w:rsid w:val="002E3EC2"/>
    <w:rsid w:val="002E3F7A"/>
    <w:rsid w:val="002E4264"/>
    <w:rsid w:val="002E46A5"/>
    <w:rsid w:val="002E47AC"/>
    <w:rsid w:val="002E48EE"/>
    <w:rsid w:val="002E4B2F"/>
    <w:rsid w:val="002E5775"/>
    <w:rsid w:val="002E5F7F"/>
    <w:rsid w:val="002E64F5"/>
    <w:rsid w:val="002E652B"/>
    <w:rsid w:val="002E6D39"/>
    <w:rsid w:val="002E7051"/>
    <w:rsid w:val="002E751E"/>
    <w:rsid w:val="002E7729"/>
    <w:rsid w:val="002E7740"/>
    <w:rsid w:val="002E7C22"/>
    <w:rsid w:val="002F0480"/>
    <w:rsid w:val="002F07A8"/>
    <w:rsid w:val="002F1057"/>
    <w:rsid w:val="002F1822"/>
    <w:rsid w:val="002F1A09"/>
    <w:rsid w:val="002F1C5F"/>
    <w:rsid w:val="002F2932"/>
    <w:rsid w:val="002F2FB3"/>
    <w:rsid w:val="002F305C"/>
    <w:rsid w:val="002F347E"/>
    <w:rsid w:val="002F3C77"/>
    <w:rsid w:val="002F3D03"/>
    <w:rsid w:val="002F4C3B"/>
    <w:rsid w:val="002F4F4A"/>
    <w:rsid w:val="002F53F1"/>
    <w:rsid w:val="002F5792"/>
    <w:rsid w:val="002F5E00"/>
    <w:rsid w:val="002F618C"/>
    <w:rsid w:val="002F6611"/>
    <w:rsid w:val="002F681E"/>
    <w:rsid w:val="002F6936"/>
    <w:rsid w:val="002F6BD4"/>
    <w:rsid w:val="002F6C0C"/>
    <w:rsid w:val="002F6D59"/>
    <w:rsid w:val="002F6E28"/>
    <w:rsid w:val="002F7F6F"/>
    <w:rsid w:val="003000C2"/>
    <w:rsid w:val="003001FC"/>
    <w:rsid w:val="003007BE"/>
    <w:rsid w:val="003009C9"/>
    <w:rsid w:val="00300A50"/>
    <w:rsid w:val="00300F2D"/>
    <w:rsid w:val="00301F9F"/>
    <w:rsid w:val="00302462"/>
    <w:rsid w:val="00302603"/>
    <w:rsid w:val="00302799"/>
    <w:rsid w:val="00302EF9"/>
    <w:rsid w:val="00303418"/>
    <w:rsid w:val="00303787"/>
    <w:rsid w:val="003038E6"/>
    <w:rsid w:val="00303B1F"/>
    <w:rsid w:val="00304483"/>
    <w:rsid w:val="003044D2"/>
    <w:rsid w:val="00304996"/>
    <w:rsid w:val="00304B36"/>
    <w:rsid w:val="00304DA3"/>
    <w:rsid w:val="0030562D"/>
    <w:rsid w:val="00305645"/>
    <w:rsid w:val="00305FA4"/>
    <w:rsid w:val="00306716"/>
    <w:rsid w:val="0030676A"/>
    <w:rsid w:val="00306802"/>
    <w:rsid w:val="00307581"/>
    <w:rsid w:val="0030772A"/>
    <w:rsid w:val="00307D21"/>
    <w:rsid w:val="00307E58"/>
    <w:rsid w:val="00310612"/>
    <w:rsid w:val="0031062A"/>
    <w:rsid w:val="003109BC"/>
    <w:rsid w:val="00310F0E"/>
    <w:rsid w:val="00311363"/>
    <w:rsid w:val="0031152E"/>
    <w:rsid w:val="003117E3"/>
    <w:rsid w:val="00311D47"/>
    <w:rsid w:val="00311ED5"/>
    <w:rsid w:val="00312188"/>
    <w:rsid w:val="00312323"/>
    <w:rsid w:val="00312585"/>
    <w:rsid w:val="003126A5"/>
    <w:rsid w:val="003126EA"/>
    <w:rsid w:val="00313249"/>
    <w:rsid w:val="00313944"/>
    <w:rsid w:val="00313E10"/>
    <w:rsid w:val="00313EDC"/>
    <w:rsid w:val="00314383"/>
    <w:rsid w:val="003143A8"/>
    <w:rsid w:val="003143B8"/>
    <w:rsid w:val="00314634"/>
    <w:rsid w:val="00314806"/>
    <w:rsid w:val="00314AB0"/>
    <w:rsid w:val="0031577B"/>
    <w:rsid w:val="003158EF"/>
    <w:rsid w:val="00316717"/>
    <w:rsid w:val="00316DC8"/>
    <w:rsid w:val="0031721F"/>
    <w:rsid w:val="00317A17"/>
    <w:rsid w:val="00320553"/>
    <w:rsid w:val="0032077E"/>
    <w:rsid w:val="00320840"/>
    <w:rsid w:val="00320DA0"/>
    <w:rsid w:val="003214C5"/>
    <w:rsid w:val="0032156A"/>
    <w:rsid w:val="0032176C"/>
    <w:rsid w:val="00321B3B"/>
    <w:rsid w:val="0032216F"/>
    <w:rsid w:val="0032255F"/>
    <w:rsid w:val="003227AE"/>
    <w:rsid w:val="00322CC5"/>
    <w:rsid w:val="00323314"/>
    <w:rsid w:val="00323933"/>
    <w:rsid w:val="00323E4D"/>
    <w:rsid w:val="003241D8"/>
    <w:rsid w:val="00324705"/>
    <w:rsid w:val="00324F52"/>
    <w:rsid w:val="00324F54"/>
    <w:rsid w:val="0032588B"/>
    <w:rsid w:val="0032598F"/>
    <w:rsid w:val="00325C52"/>
    <w:rsid w:val="00325EC5"/>
    <w:rsid w:val="003261F5"/>
    <w:rsid w:val="00326351"/>
    <w:rsid w:val="00326E3A"/>
    <w:rsid w:val="00327EE2"/>
    <w:rsid w:val="00327FA6"/>
    <w:rsid w:val="00330554"/>
    <w:rsid w:val="00330C82"/>
    <w:rsid w:val="003311EF"/>
    <w:rsid w:val="0033184E"/>
    <w:rsid w:val="003319E8"/>
    <w:rsid w:val="00331A35"/>
    <w:rsid w:val="00331C19"/>
    <w:rsid w:val="00331C73"/>
    <w:rsid w:val="0033201C"/>
    <w:rsid w:val="00332771"/>
    <w:rsid w:val="00332B04"/>
    <w:rsid w:val="00332E4E"/>
    <w:rsid w:val="00333574"/>
    <w:rsid w:val="00333809"/>
    <w:rsid w:val="00333816"/>
    <w:rsid w:val="003338F1"/>
    <w:rsid w:val="00333A07"/>
    <w:rsid w:val="00333D9D"/>
    <w:rsid w:val="00333F4D"/>
    <w:rsid w:val="00334008"/>
    <w:rsid w:val="003350CA"/>
    <w:rsid w:val="0033522F"/>
    <w:rsid w:val="003359FE"/>
    <w:rsid w:val="00335AE0"/>
    <w:rsid w:val="00335BDB"/>
    <w:rsid w:val="00336604"/>
    <w:rsid w:val="00336927"/>
    <w:rsid w:val="00336EDF"/>
    <w:rsid w:val="0033743E"/>
    <w:rsid w:val="00337496"/>
    <w:rsid w:val="003375C1"/>
    <w:rsid w:val="0034043A"/>
    <w:rsid w:val="00340726"/>
    <w:rsid w:val="00340785"/>
    <w:rsid w:val="00340BFE"/>
    <w:rsid w:val="00340E13"/>
    <w:rsid w:val="00341058"/>
    <w:rsid w:val="00341B50"/>
    <w:rsid w:val="003423A4"/>
    <w:rsid w:val="00342CC7"/>
    <w:rsid w:val="0034386E"/>
    <w:rsid w:val="00343934"/>
    <w:rsid w:val="00343A1D"/>
    <w:rsid w:val="00343A8A"/>
    <w:rsid w:val="00343F0F"/>
    <w:rsid w:val="00344278"/>
    <w:rsid w:val="003442AD"/>
    <w:rsid w:val="00344696"/>
    <w:rsid w:val="00344C7C"/>
    <w:rsid w:val="003455A3"/>
    <w:rsid w:val="00345CB1"/>
    <w:rsid w:val="00346064"/>
    <w:rsid w:val="003465C8"/>
    <w:rsid w:val="003466CC"/>
    <w:rsid w:val="00346705"/>
    <w:rsid w:val="00346825"/>
    <w:rsid w:val="00347243"/>
    <w:rsid w:val="0034727F"/>
    <w:rsid w:val="00347377"/>
    <w:rsid w:val="0034753C"/>
    <w:rsid w:val="003500A5"/>
    <w:rsid w:val="00350667"/>
    <w:rsid w:val="0035070F"/>
    <w:rsid w:val="003512CC"/>
    <w:rsid w:val="00351EDC"/>
    <w:rsid w:val="00352045"/>
    <w:rsid w:val="00352071"/>
    <w:rsid w:val="00352C6C"/>
    <w:rsid w:val="00352D70"/>
    <w:rsid w:val="00353B7E"/>
    <w:rsid w:val="00353F26"/>
    <w:rsid w:val="003541D8"/>
    <w:rsid w:val="00354481"/>
    <w:rsid w:val="0035458C"/>
    <w:rsid w:val="00354782"/>
    <w:rsid w:val="003548CB"/>
    <w:rsid w:val="00354923"/>
    <w:rsid w:val="00355113"/>
    <w:rsid w:val="00355234"/>
    <w:rsid w:val="003554AC"/>
    <w:rsid w:val="00355C36"/>
    <w:rsid w:val="00356F7F"/>
    <w:rsid w:val="003573B4"/>
    <w:rsid w:val="0035786A"/>
    <w:rsid w:val="00357B90"/>
    <w:rsid w:val="00357F5B"/>
    <w:rsid w:val="003602DE"/>
    <w:rsid w:val="003605B6"/>
    <w:rsid w:val="003607FB"/>
    <w:rsid w:val="00361010"/>
    <w:rsid w:val="003612E9"/>
    <w:rsid w:val="0036217B"/>
    <w:rsid w:val="00362350"/>
    <w:rsid w:val="00362357"/>
    <w:rsid w:val="00362475"/>
    <w:rsid w:val="003624FC"/>
    <w:rsid w:val="00362508"/>
    <w:rsid w:val="00362CC3"/>
    <w:rsid w:val="003634DA"/>
    <w:rsid w:val="0036359B"/>
    <w:rsid w:val="003635F0"/>
    <w:rsid w:val="00363B4C"/>
    <w:rsid w:val="00364296"/>
    <w:rsid w:val="00364844"/>
    <w:rsid w:val="00364B13"/>
    <w:rsid w:val="00364C17"/>
    <w:rsid w:val="0036526D"/>
    <w:rsid w:val="00365DDD"/>
    <w:rsid w:val="00365DF5"/>
    <w:rsid w:val="00366786"/>
    <w:rsid w:val="00366C94"/>
    <w:rsid w:val="00366E5D"/>
    <w:rsid w:val="00366F3F"/>
    <w:rsid w:val="00367005"/>
    <w:rsid w:val="00367118"/>
    <w:rsid w:val="003673A2"/>
    <w:rsid w:val="00370528"/>
    <w:rsid w:val="00370859"/>
    <w:rsid w:val="0037183F"/>
    <w:rsid w:val="00371944"/>
    <w:rsid w:val="00371AEC"/>
    <w:rsid w:val="0037237D"/>
    <w:rsid w:val="00372693"/>
    <w:rsid w:val="003733A3"/>
    <w:rsid w:val="00373407"/>
    <w:rsid w:val="003743AA"/>
    <w:rsid w:val="00374654"/>
    <w:rsid w:val="00374852"/>
    <w:rsid w:val="00374C59"/>
    <w:rsid w:val="00374E30"/>
    <w:rsid w:val="003754BA"/>
    <w:rsid w:val="00375624"/>
    <w:rsid w:val="0037584B"/>
    <w:rsid w:val="003759A1"/>
    <w:rsid w:val="00375BE9"/>
    <w:rsid w:val="00375D21"/>
    <w:rsid w:val="00375EF5"/>
    <w:rsid w:val="003761C4"/>
    <w:rsid w:val="003766BD"/>
    <w:rsid w:val="0037674D"/>
    <w:rsid w:val="00376852"/>
    <w:rsid w:val="00376E3F"/>
    <w:rsid w:val="00376EE6"/>
    <w:rsid w:val="00377705"/>
    <w:rsid w:val="00377A1F"/>
    <w:rsid w:val="0038019E"/>
    <w:rsid w:val="00380981"/>
    <w:rsid w:val="003813F7"/>
    <w:rsid w:val="00381684"/>
    <w:rsid w:val="003824AD"/>
    <w:rsid w:val="00382989"/>
    <w:rsid w:val="00382B21"/>
    <w:rsid w:val="00382B46"/>
    <w:rsid w:val="00382C9E"/>
    <w:rsid w:val="003830D3"/>
    <w:rsid w:val="003831D5"/>
    <w:rsid w:val="00383208"/>
    <w:rsid w:val="003838A1"/>
    <w:rsid w:val="00383E04"/>
    <w:rsid w:val="003851C7"/>
    <w:rsid w:val="00385368"/>
    <w:rsid w:val="0038658E"/>
    <w:rsid w:val="00386BFA"/>
    <w:rsid w:val="00386DDA"/>
    <w:rsid w:val="00387A2B"/>
    <w:rsid w:val="00390300"/>
    <w:rsid w:val="00390510"/>
    <w:rsid w:val="0039062D"/>
    <w:rsid w:val="00390916"/>
    <w:rsid w:val="00390BB4"/>
    <w:rsid w:val="003911A5"/>
    <w:rsid w:val="003913A1"/>
    <w:rsid w:val="00391750"/>
    <w:rsid w:val="003920EF"/>
    <w:rsid w:val="00392346"/>
    <w:rsid w:val="003929E6"/>
    <w:rsid w:val="00392BBE"/>
    <w:rsid w:val="00393787"/>
    <w:rsid w:val="00393D7D"/>
    <w:rsid w:val="00393F94"/>
    <w:rsid w:val="00394899"/>
    <w:rsid w:val="0039515E"/>
    <w:rsid w:val="0039545B"/>
    <w:rsid w:val="00395462"/>
    <w:rsid w:val="0039579C"/>
    <w:rsid w:val="00395898"/>
    <w:rsid w:val="00395AB7"/>
    <w:rsid w:val="00395C0B"/>
    <w:rsid w:val="00395D14"/>
    <w:rsid w:val="0039614C"/>
    <w:rsid w:val="00396168"/>
    <w:rsid w:val="00396614"/>
    <w:rsid w:val="003966A4"/>
    <w:rsid w:val="00396E32"/>
    <w:rsid w:val="00396F2A"/>
    <w:rsid w:val="00396FC2"/>
    <w:rsid w:val="00397030"/>
    <w:rsid w:val="00397107"/>
    <w:rsid w:val="00397206"/>
    <w:rsid w:val="00397230"/>
    <w:rsid w:val="00397A1D"/>
    <w:rsid w:val="00397BFE"/>
    <w:rsid w:val="00397CEC"/>
    <w:rsid w:val="00397F09"/>
    <w:rsid w:val="003A02BE"/>
    <w:rsid w:val="003A0357"/>
    <w:rsid w:val="003A08F6"/>
    <w:rsid w:val="003A140D"/>
    <w:rsid w:val="003A14EF"/>
    <w:rsid w:val="003A17BD"/>
    <w:rsid w:val="003A19AB"/>
    <w:rsid w:val="003A1DF7"/>
    <w:rsid w:val="003A2A84"/>
    <w:rsid w:val="003A2B85"/>
    <w:rsid w:val="003A2C48"/>
    <w:rsid w:val="003A3942"/>
    <w:rsid w:val="003A3AEC"/>
    <w:rsid w:val="003A41E2"/>
    <w:rsid w:val="003A467D"/>
    <w:rsid w:val="003A4763"/>
    <w:rsid w:val="003A57D6"/>
    <w:rsid w:val="003A5918"/>
    <w:rsid w:val="003A63A8"/>
    <w:rsid w:val="003A6C1D"/>
    <w:rsid w:val="003A6F4E"/>
    <w:rsid w:val="003A75FE"/>
    <w:rsid w:val="003A78F3"/>
    <w:rsid w:val="003A7E35"/>
    <w:rsid w:val="003B0400"/>
    <w:rsid w:val="003B157E"/>
    <w:rsid w:val="003B20FE"/>
    <w:rsid w:val="003B2441"/>
    <w:rsid w:val="003B25FA"/>
    <w:rsid w:val="003B270F"/>
    <w:rsid w:val="003B2B5C"/>
    <w:rsid w:val="003B2F87"/>
    <w:rsid w:val="003B3287"/>
    <w:rsid w:val="003B3973"/>
    <w:rsid w:val="003B3BE5"/>
    <w:rsid w:val="003B4217"/>
    <w:rsid w:val="003B473B"/>
    <w:rsid w:val="003B4D0B"/>
    <w:rsid w:val="003B53AC"/>
    <w:rsid w:val="003B560F"/>
    <w:rsid w:val="003B5FF2"/>
    <w:rsid w:val="003B6399"/>
    <w:rsid w:val="003B671B"/>
    <w:rsid w:val="003B7002"/>
    <w:rsid w:val="003B729A"/>
    <w:rsid w:val="003B740C"/>
    <w:rsid w:val="003B79DC"/>
    <w:rsid w:val="003B7A54"/>
    <w:rsid w:val="003C0D6A"/>
    <w:rsid w:val="003C0D7B"/>
    <w:rsid w:val="003C0FB9"/>
    <w:rsid w:val="003C13F7"/>
    <w:rsid w:val="003C168C"/>
    <w:rsid w:val="003C209A"/>
    <w:rsid w:val="003C20E0"/>
    <w:rsid w:val="003C22A4"/>
    <w:rsid w:val="003C2DD3"/>
    <w:rsid w:val="003C303F"/>
    <w:rsid w:val="003C338B"/>
    <w:rsid w:val="003C37F1"/>
    <w:rsid w:val="003C3951"/>
    <w:rsid w:val="003C3E6F"/>
    <w:rsid w:val="003C4117"/>
    <w:rsid w:val="003C4571"/>
    <w:rsid w:val="003C468B"/>
    <w:rsid w:val="003C4D70"/>
    <w:rsid w:val="003C51D3"/>
    <w:rsid w:val="003C5975"/>
    <w:rsid w:val="003C5B61"/>
    <w:rsid w:val="003C62F4"/>
    <w:rsid w:val="003C64FF"/>
    <w:rsid w:val="003C6C1F"/>
    <w:rsid w:val="003C6CB9"/>
    <w:rsid w:val="003C73FF"/>
    <w:rsid w:val="003C773C"/>
    <w:rsid w:val="003C7A27"/>
    <w:rsid w:val="003D050C"/>
    <w:rsid w:val="003D0804"/>
    <w:rsid w:val="003D0F79"/>
    <w:rsid w:val="003D0F82"/>
    <w:rsid w:val="003D0FCA"/>
    <w:rsid w:val="003D1490"/>
    <w:rsid w:val="003D155B"/>
    <w:rsid w:val="003D1930"/>
    <w:rsid w:val="003D1BE4"/>
    <w:rsid w:val="003D1F3C"/>
    <w:rsid w:val="003D234D"/>
    <w:rsid w:val="003D28F5"/>
    <w:rsid w:val="003D2ABD"/>
    <w:rsid w:val="003D2D1B"/>
    <w:rsid w:val="003D325F"/>
    <w:rsid w:val="003D3511"/>
    <w:rsid w:val="003D3E06"/>
    <w:rsid w:val="003D403A"/>
    <w:rsid w:val="003D413C"/>
    <w:rsid w:val="003D4319"/>
    <w:rsid w:val="003D4587"/>
    <w:rsid w:val="003D48A2"/>
    <w:rsid w:val="003D5A8D"/>
    <w:rsid w:val="003D5F76"/>
    <w:rsid w:val="003D65BF"/>
    <w:rsid w:val="003D6732"/>
    <w:rsid w:val="003D6D91"/>
    <w:rsid w:val="003D7250"/>
    <w:rsid w:val="003D76EE"/>
    <w:rsid w:val="003D7B4C"/>
    <w:rsid w:val="003D7C67"/>
    <w:rsid w:val="003E0381"/>
    <w:rsid w:val="003E0CA9"/>
    <w:rsid w:val="003E0E2C"/>
    <w:rsid w:val="003E164A"/>
    <w:rsid w:val="003E1A9F"/>
    <w:rsid w:val="003E1EE8"/>
    <w:rsid w:val="003E2AD9"/>
    <w:rsid w:val="003E2DB7"/>
    <w:rsid w:val="003E3101"/>
    <w:rsid w:val="003E32DE"/>
    <w:rsid w:val="003E3472"/>
    <w:rsid w:val="003E3E25"/>
    <w:rsid w:val="003E476E"/>
    <w:rsid w:val="003E4789"/>
    <w:rsid w:val="003E49B2"/>
    <w:rsid w:val="003E4C9D"/>
    <w:rsid w:val="003E54C7"/>
    <w:rsid w:val="003E5859"/>
    <w:rsid w:val="003E65B3"/>
    <w:rsid w:val="003E676B"/>
    <w:rsid w:val="003E68AD"/>
    <w:rsid w:val="003E68AE"/>
    <w:rsid w:val="003E69D1"/>
    <w:rsid w:val="003E6A0B"/>
    <w:rsid w:val="003E788D"/>
    <w:rsid w:val="003E7939"/>
    <w:rsid w:val="003F0A79"/>
    <w:rsid w:val="003F0AE5"/>
    <w:rsid w:val="003F1084"/>
    <w:rsid w:val="003F1414"/>
    <w:rsid w:val="003F1653"/>
    <w:rsid w:val="003F2171"/>
    <w:rsid w:val="003F23E7"/>
    <w:rsid w:val="003F27C8"/>
    <w:rsid w:val="003F28D0"/>
    <w:rsid w:val="003F2ABD"/>
    <w:rsid w:val="003F33E4"/>
    <w:rsid w:val="003F35BF"/>
    <w:rsid w:val="003F400E"/>
    <w:rsid w:val="003F40EE"/>
    <w:rsid w:val="003F4638"/>
    <w:rsid w:val="003F46D5"/>
    <w:rsid w:val="003F5196"/>
    <w:rsid w:val="003F57B2"/>
    <w:rsid w:val="003F5841"/>
    <w:rsid w:val="003F5885"/>
    <w:rsid w:val="003F58C5"/>
    <w:rsid w:val="003F5B5D"/>
    <w:rsid w:val="003F5C24"/>
    <w:rsid w:val="003F66D7"/>
    <w:rsid w:val="003F6C74"/>
    <w:rsid w:val="003F78CA"/>
    <w:rsid w:val="004007E5"/>
    <w:rsid w:val="0040180C"/>
    <w:rsid w:val="00401AB2"/>
    <w:rsid w:val="0040206F"/>
    <w:rsid w:val="004025F9"/>
    <w:rsid w:val="0040274D"/>
    <w:rsid w:val="0040363B"/>
    <w:rsid w:val="0040414E"/>
    <w:rsid w:val="004043BA"/>
    <w:rsid w:val="004045E7"/>
    <w:rsid w:val="00404BAB"/>
    <w:rsid w:val="00404F5A"/>
    <w:rsid w:val="00405247"/>
    <w:rsid w:val="004052A0"/>
    <w:rsid w:val="004056FD"/>
    <w:rsid w:val="00405C8E"/>
    <w:rsid w:val="00406104"/>
    <w:rsid w:val="0040617B"/>
    <w:rsid w:val="00406A74"/>
    <w:rsid w:val="0040700A"/>
    <w:rsid w:val="004075D9"/>
    <w:rsid w:val="00407755"/>
    <w:rsid w:val="004077AD"/>
    <w:rsid w:val="00407A1A"/>
    <w:rsid w:val="0041001E"/>
    <w:rsid w:val="0041020F"/>
    <w:rsid w:val="00410667"/>
    <w:rsid w:val="004108BE"/>
    <w:rsid w:val="00410A50"/>
    <w:rsid w:val="00410DF4"/>
    <w:rsid w:val="00410F6A"/>
    <w:rsid w:val="0041196B"/>
    <w:rsid w:val="004120BB"/>
    <w:rsid w:val="004124EB"/>
    <w:rsid w:val="0041280E"/>
    <w:rsid w:val="0041288C"/>
    <w:rsid w:val="00412D30"/>
    <w:rsid w:val="004133BB"/>
    <w:rsid w:val="00413575"/>
    <w:rsid w:val="00413B57"/>
    <w:rsid w:val="00414C97"/>
    <w:rsid w:val="004154AF"/>
    <w:rsid w:val="004157B9"/>
    <w:rsid w:val="00415CAA"/>
    <w:rsid w:val="00416235"/>
    <w:rsid w:val="004162C4"/>
    <w:rsid w:val="0041677B"/>
    <w:rsid w:val="00416C7D"/>
    <w:rsid w:val="00416DC0"/>
    <w:rsid w:val="00417111"/>
    <w:rsid w:val="00417996"/>
    <w:rsid w:val="00417CFB"/>
    <w:rsid w:val="00417DA6"/>
    <w:rsid w:val="0042015D"/>
    <w:rsid w:val="00420177"/>
    <w:rsid w:val="00420A63"/>
    <w:rsid w:val="004211BD"/>
    <w:rsid w:val="00421AD9"/>
    <w:rsid w:val="00421CBF"/>
    <w:rsid w:val="0042275D"/>
    <w:rsid w:val="00422853"/>
    <w:rsid w:val="00422A84"/>
    <w:rsid w:val="00422DD8"/>
    <w:rsid w:val="004234D4"/>
    <w:rsid w:val="0042467B"/>
    <w:rsid w:val="00424BD7"/>
    <w:rsid w:val="00424DF0"/>
    <w:rsid w:val="0042558D"/>
    <w:rsid w:val="0042579B"/>
    <w:rsid w:val="00425C8B"/>
    <w:rsid w:val="00425F4B"/>
    <w:rsid w:val="00425F77"/>
    <w:rsid w:val="004273D9"/>
    <w:rsid w:val="00427475"/>
    <w:rsid w:val="00427566"/>
    <w:rsid w:val="004279D0"/>
    <w:rsid w:val="0043002D"/>
    <w:rsid w:val="00430577"/>
    <w:rsid w:val="00430964"/>
    <w:rsid w:val="00430BA3"/>
    <w:rsid w:val="0043129A"/>
    <w:rsid w:val="004318DA"/>
    <w:rsid w:val="00431A01"/>
    <w:rsid w:val="00431B05"/>
    <w:rsid w:val="0043246F"/>
    <w:rsid w:val="00432772"/>
    <w:rsid w:val="0043288B"/>
    <w:rsid w:val="00432D8D"/>
    <w:rsid w:val="00432E87"/>
    <w:rsid w:val="00433001"/>
    <w:rsid w:val="00433182"/>
    <w:rsid w:val="00433722"/>
    <w:rsid w:val="0043406F"/>
    <w:rsid w:val="00434E60"/>
    <w:rsid w:val="00435292"/>
    <w:rsid w:val="0043576E"/>
    <w:rsid w:val="00435F33"/>
    <w:rsid w:val="00436102"/>
    <w:rsid w:val="00436454"/>
    <w:rsid w:val="00436492"/>
    <w:rsid w:val="00436764"/>
    <w:rsid w:val="0043680B"/>
    <w:rsid w:val="00436F10"/>
    <w:rsid w:val="00436F48"/>
    <w:rsid w:val="004373C4"/>
    <w:rsid w:val="004373CD"/>
    <w:rsid w:val="00437623"/>
    <w:rsid w:val="00437689"/>
    <w:rsid w:val="00437CFD"/>
    <w:rsid w:val="00437FE6"/>
    <w:rsid w:val="0044019B"/>
    <w:rsid w:val="00440298"/>
    <w:rsid w:val="004408B9"/>
    <w:rsid w:val="004419E8"/>
    <w:rsid w:val="00441B77"/>
    <w:rsid w:val="00441BDC"/>
    <w:rsid w:val="00442A6C"/>
    <w:rsid w:val="00442D18"/>
    <w:rsid w:val="00442DAB"/>
    <w:rsid w:val="00443283"/>
    <w:rsid w:val="00443756"/>
    <w:rsid w:val="00443BD2"/>
    <w:rsid w:val="00443E20"/>
    <w:rsid w:val="00444039"/>
    <w:rsid w:val="00444411"/>
    <w:rsid w:val="00444437"/>
    <w:rsid w:val="004444B1"/>
    <w:rsid w:val="004444C2"/>
    <w:rsid w:val="004447FF"/>
    <w:rsid w:val="00444BDC"/>
    <w:rsid w:val="00445193"/>
    <w:rsid w:val="004451B4"/>
    <w:rsid w:val="00445208"/>
    <w:rsid w:val="004458B3"/>
    <w:rsid w:val="00446643"/>
    <w:rsid w:val="00446B88"/>
    <w:rsid w:val="00447330"/>
    <w:rsid w:val="00450CCE"/>
    <w:rsid w:val="00450EC8"/>
    <w:rsid w:val="00451681"/>
    <w:rsid w:val="00451AF6"/>
    <w:rsid w:val="004522D4"/>
    <w:rsid w:val="004529F1"/>
    <w:rsid w:val="0045361E"/>
    <w:rsid w:val="0045367B"/>
    <w:rsid w:val="004537B4"/>
    <w:rsid w:val="00453A06"/>
    <w:rsid w:val="00454169"/>
    <w:rsid w:val="0045418F"/>
    <w:rsid w:val="004544F8"/>
    <w:rsid w:val="00454793"/>
    <w:rsid w:val="0045490A"/>
    <w:rsid w:val="00454B88"/>
    <w:rsid w:val="00454D56"/>
    <w:rsid w:val="00454D9F"/>
    <w:rsid w:val="004550B7"/>
    <w:rsid w:val="004552FA"/>
    <w:rsid w:val="0045598B"/>
    <w:rsid w:val="00455AE9"/>
    <w:rsid w:val="00455B24"/>
    <w:rsid w:val="00455FE9"/>
    <w:rsid w:val="00456466"/>
    <w:rsid w:val="00456A81"/>
    <w:rsid w:val="00456AB1"/>
    <w:rsid w:val="00456C7B"/>
    <w:rsid w:val="00456E42"/>
    <w:rsid w:val="00457245"/>
    <w:rsid w:val="004577CB"/>
    <w:rsid w:val="00457B47"/>
    <w:rsid w:val="00457E5B"/>
    <w:rsid w:val="00457F7F"/>
    <w:rsid w:val="00460C05"/>
    <w:rsid w:val="00461431"/>
    <w:rsid w:val="004627ED"/>
    <w:rsid w:val="00462865"/>
    <w:rsid w:val="0046297C"/>
    <w:rsid w:val="00462D58"/>
    <w:rsid w:val="00463382"/>
    <w:rsid w:val="00463E5D"/>
    <w:rsid w:val="00463F27"/>
    <w:rsid w:val="00464390"/>
    <w:rsid w:val="00464708"/>
    <w:rsid w:val="00464A19"/>
    <w:rsid w:val="00464AC9"/>
    <w:rsid w:val="00465656"/>
    <w:rsid w:val="00465802"/>
    <w:rsid w:val="00465C72"/>
    <w:rsid w:val="00465EC0"/>
    <w:rsid w:val="00465F3B"/>
    <w:rsid w:val="004666A5"/>
    <w:rsid w:val="00466884"/>
    <w:rsid w:val="00466F68"/>
    <w:rsid w:val="004671E6"/>
    <w:rsid w:val="00467B0A"/>
    <w:rsid w:val="004700A8"/>
    <w:rsid w:val="0047070E"/>
    <w:rsid w:val="00470A42"/>
    <w:rsid w:val="0047103C"/>
    <w:rsid w:val="004715D0"/>
    <w:rsid w:val="00471E12"/>
    <w:rsid w:val="00472328"/>
    <w:rsid w:val="00472A7D"/>
    <w:rsid w:val="00472DED"/>
    <w:rsid w:val="00472FBF"/>
    <w:rsid w:val="00473867"/>
    <w:rsid w:val="004738CA"/>
    <w:rsid w:val="00473A39"/>
    <w:rsid w:val="00473B57"/>
    <w:rsid w:val="004740D9"/>
    <w:rsid w:val="0047416D"/>
    <w:rsid w:val="004741F9"/>
    <w:rsid w:val="004744CE"/>
    <w:rsid w:val="004746BD"/>
    <w:rsid w:val="0047471E"/>
    <w:rsid w:val="00474A5E"/>
    <w:rsid w:val="00474CD6"/>
    <w:rsid w:val="00474EF6"/>
    <w:rsid w:val="004752CA"/>
    <w:rsid w:val="00475421"/>
    <w:rsid w:val="00475BC0"/>
    <w:rsid w:val="0047603C"/>
    <w:rsid w:val="004767D4"/>
    <w:rsid w:val="00476B36"/>
    <w:rsid w:val="004777C0"/>
    <w:rsid w:val="0047789B"/>
    <w:rsid w:val="00477B78"/>
    <w:rsid w:val="00477C22"/>
    <w:rsid w:val="00480624"/>
    <w:rsid w:val="00480A7B"/>
    <w:rsid w:val="00480B0B"/>
    <w:rsid w:val="00480E69"/>
    <w:rsid w:val="004816B5"/>
    <w:rsid w:val="00481761"/>
    <w:rsid w:val="00481A30"/>
    <w:rsid w:val="00482768"/>
    <w:rsid w:val="00482A2A"/>
    <w:rsid w:val="00482B82"/>
    <w:rsid w:val="00482E8E"/>
    <w:rsid w:val="00482F3B"/>
    <w:rsid w:val="00482FEC"/>
    <w:rsid w:val="0048315E"/>
    <w:rsid w:val="00483449"/>
    <w:rsid w:val="004834DF"/>
    <w:rsid w:val="00483679"/>
    <w:rsid w:val="0048425C"/>
    <w:rsid w:val="0048450A"/>
    <w:rsid w:val="0048461D"/>
    <w:rsid w:val="00484A7A"/>
    <w:rsid w:val="00484C1E"/>
    <w:rsid w:val="00484F19"/>
    <w:rsid w:val="004859C2"/>
    <w:rsid w:val="004869FF"/>
    <w:rsid w:val="00486AC6"/>
    <w:rsid w:val="00486D2A"/>
    <w:rsid w:val="00486DB4"/>
    <w:rsid w:val="004872F3"/>
    <w:rsid w:val="00490038"/>
    <w:rsid w:val="004903E1"/>
    <w:rsid w:val="004909CD"/>
    <w:rsid w:val="004911A4"/>
    <w:rsid w:val="0049144D"/>
    <w:rsid w:val="00491839"/>
    <w:rsid w:val="00491A8F"/>
    <w:rsid w:val="00491AFC"/>
    <w:rsid w:val="00491CEB"/>
    <w:rsid w:val="004923A5"/>
    <w:rsid w:val="004923FA"/>
    <w:rsid w:val="004924D2"/>
    <w:rsid w:val="00492C6B"/>
    <w:rsid w:val="00492E53"/>
    <w:rsid w:val="00493678"/>
    <w:rsid w:val="0049396B"/>
    <w:rsid w:val="00493988"/>
    <w:rsid w:val="0049443E"/>
    <w:rsid w:val="00494972"/>
    <w:rsid w:val="00494D2D"/>
    <w:rsid w:val="004954EE"/>
    <w:rsid w:val="004954FB"/>
    <w:rsid w:val="004958AE"/>
    <w:rsid w:val="004960E0"/>
    <w:rsid w:val="0049715B"/>
    <w:rsid w:val="00497593"/>
    <w:rsid w:val="0049775B"/>
    <w:rsid w:val="00497EBD"/>
    <w:rsid w:val="004A0A73"/>
    <w:rsid w:val="004A0AA8"/>
    <w:rsid w:val="004A14FB"/>
    <w:rsid w:val="004A1831"/>
    <w:rsid w:val="004A186E"/>
    <w:rsid w:val="004A1C73"/>
    <w:rsid w:val="004A1D48"/>
    <w:rsid w:val="004A1F32"/>
    <w:rsid w:val="004A23D7"/>
    <w:rsid w:val="004A3399"/>
    <w:rsid w:val="004A34FB"/>
    <w:rsid w:val="004A3B53"/>
    <w:rsid w:val="004A3E1B"/>
    <w:rsid w:val="004A404E"/>
    <w:rsid w:val="004A4153"/>
    <w:rsid w:val="004A41FC"/>
    <w:rsid w:val="004A4B00"/>
    <w:rsid w:val="004A4C5A"/>
    <w:rsid w:val="004A540A"/>
    <w:rsid w:val="004A5583"/>
    <w:rsid w:val="004A5B1A"/>
    <w:rsid w:val="004A5C99"/>
    <w:rsid w:val="004A63A0"/>
    <w:rsid w:val="004A667B"/>
    <w:rsid w:val="004A66D9"/>
    <w:rsid w:val="004A6AA9"/>
    <w:rsid w:val="004A79E5"/>
    <w:rsid w:val="004A7D27"/>
    <w:rsid w:val="004A7ED4"/>
    <w:rsid w:val="004B07A9"/>
    <w:rsid w:val="004B101B"/>
    <w:rsid w:val="004B1304"/>
    <w:rsid w:val="004B17C8"/>
    <w:rsid w:val="004B1A95"/>
    <w:rsid w:val="004B1B2C"/>
    <w:rsid w:val="004B1C53"/>
    <w:rsid w:val="004B2730"/>
    <w:rsid w:val="004B2ACC"/>
    <w:rsid w:val="004B338A"/>
    <w:rsid w:val="004B39F6"/>
    <w:rsid w:val="004B3B07"/>
    <w:rsid w:val="004B3F83"/>
    <w:rsid w:val="004B3F8C"/>
    <w:rsid w:val="004B4077"/>
    <w:rsid w:val="004B42FE"/>
    <w:rsid w:val="004B43FA"/>
    <w:rsid w:val="004B4D6F"/>
    <w:rsid w:val="004B4F1A"/>
    <w:rsid w:val="004B5293"/>
    <w:rsid w:val="004B539E"/>
    <w:rsid w:val="004B5A1E"/>
    <w:rsid w:val="004B5D04"/>
    <w:rsid w:val="004B6184"/>
    <w:rsid w:val="004B69BB"/>
    <w:rsid w:val="004B6DA0"/>
    <w:rsid w:val="004B6FF7"/>
    <w:rsid w:val="004B7261"/>
    <w:rsid w:val="004B776F"/>
    <w:rsid w:val="004B78AE"/>
    <w:rsid w:val="004B7A96"/>
    <w:rsid w:val="004B7CDB"/>
    <w:rsid w:val="004C035D"/>
    <w:rsid w:val="004C0D00"/>
    <w:rsid w:val="004C0D1F"/>
    <w:rsid w:val="004C0EC0"/>
    <w:rsid w:val="004C129D"/>
    <w:rsid w:val="004C12C1"/>
    <w:rsid w:val="004C1410"/>
    <w:rsid w:val="004C1ECC"/>
    <w:rsid w:val="004C202D"/>
    <w:rsid w:val="004C2203"/>
    <w:rsid w:val="004C240D"/>
    <w:rsid w:val="004C2993"/>
    <w:rsid w:val="004C2E78"/>
    <w:rsid w:val="004C331A"/>
    <w:rsid w:val="004C3986"/>
    <w:rsid w:val="004C3ABF"/>
    <w:rsid w:val="004C41F4"/>
    <w:rsid w:val="004C4809"/>
    <w:rsid w:val="004C4896"/>
    <w:rsid w:val="004C4B45"/>
    <w:rsid w:val="004C4E0B"/>
    <w:rsid w:val="004C5185"/>
    <w:rsid w:val="004C550A"/>
    <w:rsid w:val="004C57B2"/>
    <w:rsid w:val="004C5C36"/>
    <w:rsid w:val="004C605A"/>
    <w:rsid w:val="004C6F92"/>
    <w:rsid w:val="004C73A6"/>
    <w:rsid w:val="004C7688"/>
    <w:rsid w:val="004D0102"/>
    <w:rsid w:val="004D022B"/>
    <w:rsid w:val="004D037F"/>
    <w:rsid w:val="004D09F5"/>
    <w:rsid w:val="004D0B8E"/>
    <w:rsid w:val="004D0C94"/>
    <w:rsid w:val="004D0CA0"/>
    <w:rsid w:val="004D0EA5"/>
    <w:rsid w:val="004D1B98"/>
    <w:rsid w:val="004D1CBA"/>
    <w:rsid w:val="004D24B0"/>
    <w:rsid w:val="004D281A"/>
    <w:rsid w:val="004D3622"/>
    <w:rsid w:val="004D369F"/>
    <w:rsid w:val="004D3946"/>
    <w:rsid w:val="004D3EA8"/>
    <w:rsid w:val="004D412A"/>
    <w:rsid w:val="004D429B"/>
    <w:rsid w:val="004D535D"/>
    <w:rsid w:val="004D54C8"/>
    <w:rsid w:val="004D553D"/>
    <w:rsid w:val="004D55E5"/>
    <w:rsid w:val="004D57B2"/>
    <w:rsid w:val="004D5D1E"/>
    <w:rsid w:val="004D6421"/>
    <w:rsid w:val="004D6488"/>
    <w:rsid w:val="004D6F3B"/>
    <w:rsid w:val="004D733C"/>
    <w:rsid w:val="004D75E1"/>
    <w:rsid w:val="004D7EA7"/>
    <w:rsid w:val="004D7FB7"/>
    <w:rsid w:val="004E013E"/>
    <w:rsid w:val="004E0943"/>
    <w:rsid w:val="004E0A5E"/>
    <w:rsid w:val="004E0B10"/>
    <w:rsid w:val="004E0B1B"/>
    <w:rsid w:val="004E18F4"/>
    <w:rsid w:val="004E19CA"/>
    <w:rsid w:val="004E1ACE"/>
    <w:rsid w:val="004E1B43"/>
    <w:rsid w:val="004E1C38"/>
    <w:rsid w:val="004E1E55"/>
    <w:rsid w:val="004E2488"/>
    <w:rsid w:val="004E26E5"/>
    <w:rsid w:val="004E2C61"/>
    <w:rsid w:val="004E2EF7"/>
    <w:rsid w:val="004E33E6"/>
    <w:rsid w:val="004E3572"/>
    <w:rsid w:val="004E3871"/>
    <w:rsid w:val="004E3AAF"/>
    <w:rsid w:val="004E42E5"/>
    <w:rsid w:val="004E4830"/>
    <w:rsid w:val="004E49B9"/>
    <w:rsid w:val="004E4DFA"/>
    <w:rsid w:val="004E51E7"/>
    <w:rsid w:val="004E51FF"/>
    <w:rsid w:val="004E56C2"/>
    <w:rsid w:val="004E5827"/>
    <w:rsid w:val="004E5AE1"/>
    <w:rsid w:val="004E5B3F"/>
    <w:rsid w:val="004E5CEF"/>
    <w:rsid w:val="004E6231"/>
    <w:rsid w:val="004E6284"/>
    <w:rsid w:val="004E633C"/>
    <w:rsid w:val="004E6483"/>
    <w:rsid w:val="004E669E"/>
    <w:rsid w:val="004E66CE"/>
    <w:rsid w:val="004E6ACB"/>
    <w:rsid w:val="004E6D42"/>
    <w:rsid w:val="004E718D"/>
    <w:rsid w:val="004E7411"/>
    <w:rsid w:val="004E7D6E"/>
    <w:rsid w:val="004E7D94"/>
    <w:rsid w:val="004E7ED3"/>
    <w:rsid w:val="004F0AD8"/>
    <w:rsid w:val="004F0C51"/>
    <w:rsid w:val="004F0D26"/>
    <w:rsid w:val="004F1203"/>
    <w:rsid w:val="004F1906"/>
    <w:rsid w:val="004F2609"/>
    <w:rsid w:val="004F26F6"/>
    <w:rsid w:val="004F2A06"/>
    <w:rsid w:val="004F2A43"/>
    <w:rsid w:val="004F2ABE"/>
    <w:rsid w:val="004F2D4D"/>
    <w:rsid w:val="004F30C4"/>
    <w:rsid w:val="004F3CB5"/>
    <w:rsid w:val="004F4342"/>
    <w:rsid w:val="004F4622"/>
    <w:rsid w:val="004F473E"/>
    <w:rsid w:val="004F48B4"/>
    <w:rsid w:val="004F4F58"/>
    <w:rsid w:val="004F5C53"/>
    <w:rsid w:val="004F5FE0"/>
    <w:rsid w:val="004F6359"/>
    <w:rsid w:val="004F6CEF"/>
    <w:rsid w:val="004F701C"/>
    <w:rsid w:val="004F7071"/>
    <w:rsid w:val="004F757F"/>
    <w:rsid w:val="004F75B7"/>
    <w:rsid w:val="004F7650"/>
    <w:rsid w:val="004F7BE1"/>
    <w:rsid w:val="004F7DBA"/>
    <w:rsid w:val="004F7FAD"/>
    <w:rsid w:val="005000F5"/>
    <w:rsid w:val="0050050B"/>
    <w:rsid w:val="005006DF"/>
    <w:rsid w:val="00500A5D"/>
    <w:rsid w:val="0050196D"/>
    <w:rsid w:val="00501A4F"/>
    <w:rsid w:val="00501FC0"/>
    <w:rsid w:val="0050227F"/>
    <w:rsid w:val="0050240B"/>
    <w:rsid w:val="00502957"/>
    <w:rsid w:val="00502AB3"/>
    <w:rsid w:val="00502B4E"/>
    <w:rsid w:val="00502E91"/>
    <w:rsid w:val="0050318F"/>
    <w:rsid w:val="005035EB"/>
    <w:rsid w:val="005037DC"/>
    <w:rsid w:val="00503816"/>
    <w:rsid w:val="00503ACD"/>
    <w:rsid w:val="00503BE3"/>
    <w:rsid w:val="00503E67"/>
    <w:rsid w:val="00504015"/>
    <w:rsid w:val="005046A1"/>
    <w:rsid w:val="00504C85"/>
    <w:rsid w:val="00504F72"/>
    <w:rsid w:val="00504F82"/>
    <w:rsid w:val="005053A8"/>
    <w:rsid w:val="0050561B"/>
    <w:rsid w:val="00505912"/>
    <w:rsid w:val="00505C71"/>
    <w:rsid w:val="00505E26"/>
    <w:rsid w:val="00506324"/>
    <w:rsid w:val="0050632F"/>
    <w:rsid w:val="005070CB"/>
    <w:rsid w:val="00507168"/>
    <w:rsid w:val="0050785E"/>
    <w:rsid w:val="00510CAF"/>
    <w:rsid w:val="0051153F"/>
    <w:rsid w:val="00511624"/>
    <w:rsid w:val="00511740"/>
    <w:rsid w:val="0051181E"/>
    <w:rsid w:val="00511E22"/>
    <w:rsid w:val="00511FA4"/>
    <w:rsid w:val="00511FE6"/>
    <w:rsid w:val="00512290"/>
    <w:rsid w:val="00512366"/>
    <w:rsid w:val="0051245F"/>
    <w:rsid w:val="00513005"/>
    <w:rsid w:val="0051334E"/>
    <w:rsid w:val="00513762"/>
    <w:rsid w:val="0051376E"/>
    <w:rsid w:val="005137D8"/>
    <w:rsid w:val="00513B3B"/>
    <w:rsid w:val="00513B56"/>
    <w:rsid w:val="00514036"/>
    <w:rsid w:val="0051438C"/>
    <w:rsid w:val="00514617"/>
    <w:rsid w:val="00514BDF"/>
    <w:rsid w:val="005153F9"/>
    <w:rsid w:val="005155A6"/>
    <w:rsid w:val="00515B94"/>
    <w:rsid w:val="00515DEC"/>
    <w:rsid w:val="00516184"/>
    <w:rsid w:val="00516882"/>
    <w:rsid w:val="00516FA1"/>
    <w:rsid w:val="005176B4"/>
    <w:rsid w:val="00517805"/>
    <w:rsid w:val="00517DE1"/>
    <w:rsid w:val="00520458"/>
    <w:rsid w:val="0052047D"/>
    <w:rsid w:val="00520568"/>
    <w:rsid w:val="005206C5"/>
    <w:rsid w:val="005208E0"/>
    <w:rsid w:val="0052273F"/>
    <w:rsid w:val="00522CC6"/>
    <w:rsid w:val="00522E54"/>
    <w:rsid w:val="00523162"/>
    <w:rsid w:val="00523713"/>
    <w:rsid w:val="00523B44"/>
    <w:rsid w:val="00523F70"/>
    <w:rsid w:val="0052459C"/>
    <w:rsid w:val="005245E1"/>
    <w:rsid w:val="005248C9"/>
    <w:rsid w:val="00524FAA"/>
    <w:rsid w:val="0052502E"/>
    <w:rsid w:val="005254D5"/>
    <w:rsid w:val="00525AB2"/>
    <w:rsid w:val="00525FA0"/>
    <w:rsid w:val="005266CF"/>
    <w:rsid w:val="00526AAC"/>
    <w:rsid w:val="0052708F"/>
    <w:rsid w:val="005272F0"/>
    <w:rsid w:val="00527478"/>
    <w:rsid w:val="0052781A"/>
    <w:rsid w:val="0053006D"/>
    <w:rsid w:val="005303B2"/>
    <w:rsid w:val="00530A6D"/>
    <w:rsid w:val="00531524"/>
    <w:rsid w:val="00531A45"/>
    <w:rsid w:val="005328E6"/>
    <w:rsid w:val="005329C2"/>
    <w:rsid w:val="005337D4"/>
    <w:rsid w:val="00533B67"/>
    <w:rsid w:val="00534248"/>
    <w:rsid w:val="00534328"/>
    <w:rsid w:val="00535276"/>
    <w:rsid w:val="00535323"/>
    <w:rsid w:val="005360E7"/>
    <w:rsid w:val="005368EC"/>
    <w:rsid w:val="00536E19"/>
    <w:rsid w:val="00537178"/>
    <w:rsid w:val="00537655"/>
    <w:rsid w:val="0053777A"/>
    <w:rsid w:val="00540278"/>
    <w:rsid w:val="00540632"/>
    <w:rsid w:val="00540B30"/>
    <w:rsid w:val="00541296"/>
    <w:rsid w:val="005414DF"/>
    <w:rsid w:val="00541A03"/>
    <w:rsid w:val="00541C38"/>
    <w:rsid w:val="00542127"/>
    <w:rsid w:val="005421CE"/>
    <w:rsid w:val="005431FF"/>
    <w:rsid w:val="005437B2"/>
    <w:rsid w:val="00543E0F"/>
    <w:rsid w:val="0054409D"/>
    <w:rsid w:val="0054499E"/>
    <w:rsid w:val="00544E4C"/>
    <w:rsid w:val="005454E8"/>
    <w:rsid w:val="00545DC5"/>
    <w:rsid w:val="00545E12"/>
    <w:rsid w:val="00545F8F"/>
    <w:rsid w:val="005460B1"/>
    <w:rsid w:val="005467FD"/>
    <w:rsid w:val="00546CDF"/>
    <w:rsid w:val="00546DFB"/>
    <w:rsid w:val="00546E00"/>
    <w:rsid w:val="00547161"/>
    <w:rsid w:val="00547347"/>
    <w:rsid w:val="00547887"/>
    <w:rsid w:val="00547A73"/>
    <w:rsid w:val="00547F58"/>
    <w:rsid w:val="0055021C"/>
    <w:rsid w:val="005502DC"/>
    <w:rsid w:val="0055042A"/>
    <w:rsid w:val="005509DA"/>
    <w:rsid w:val="00551A09"/>
    <w:rsid w:val="00551F85"/>
    <w:rsid w:val="0055206D"/>
    <w:rsid w:val="00552534"/>
    <w:rsid w:val="00552D0B"/>
    <w:rsid w:val="00552D2C"/>
    <w:rsid w:val="00553387"/>
    <w:rsid w:val="005533C7"/>
    <w:rsid w:val="005535A2"/>
    <w:rsid w:val="00553B31"/>
    <w:rsid w:val="00553CAE"/>
    <w:rsid w:val="00553FEF"/>
    <w:rsid w:val="0055511E"/>
    <w:rsid w:val="005551B7"/>
    <w:rsid w:val="00555454"/>
    <w:rsid w:val="005557C8"/>
    <w:rsid w:val="005557D7"/>
    <w:rsid w:val="0055592D"/>
    <w:rsid w:val="00555C66"/>
    <w:rsid w:val="005562DF"/>
    <w:rsid w:val="00556EDD"/>
    <w:rsid w:val="00557348"/>
    <w:rsid w:val="00557763"/>
    <w:rsid w:val="0056004E"/>
    <w:rsid w:val="005602F4"/>
    <w:rsid w:val="0056123F"/>
    <w:rsid w:val="00561422"/>
    <w:rsid w:val="00561C18"/>
    <w:rsid w:val="00562FB0"/>
    <w:rsid w:val="00563514"/>
    <w:rsid w:val="005637A4"/>
    <w:rsid w:val="005639BA"/>
    <w:rsid w:val="005641B2"/>
    <w:rsid w:val="00564719"/>
    <w:rsid w:val="00564BC2"/>
    <w:rsid w:val="00564D46"/>
    <w:rsid w:val="005659F9"/>
    <w:rsid w:val="00565C03"/>
    <w:rsid w:val="00566190"/>
    <w:rsid w:val="005666A1"/>
    <w:rsid w:val="005667B7"/>
    <w:rsid w:val="005667C4"/>
    <w:rsid w:val="00566CF2"/>
    <w:rsid w:val="005674E0"/>
    <w:rsid w:val="00567671"/>
    <w:rsid w:val="00570530"/>
    <w:rsid w:val="00571A6A"/>
    <w:rsid w:val="00572663"/>
    <w:rsid w:val="00572699"/>
    <w:rsid w:val="00572787"/>
    <w:rsid w:val="00572EEC"/>
    <w:rsid w:val="005747F1"/>
    <w:rsid w:val="00574A53"/>
    <w:rsid w:val="00574C98"/>
    <w:rsid w:val="00574D89"/>
    <w:rsid w:val="00575214"/>
    <w:rsid w:val="00575577"/>
    <w:rsid w:val="005757F9"/>
    <w:rsid w:val="00575935"/>
    <w:rsid w:val="00576171"/>
    <w:rsid w:val="0057629F"/>
    <w:rsid w:val="005765EA"/>
    <w:rsid w:val="00577004"/>
    <w:rsid w:val="00577082"/>
    <w:rsid w:val="005771B8"/>
    <w:rsid w:val="005776A9"/>
    <w:rsid w:val="00577C0E"/>
    <w:rsid w:val="00577EA1"/>
    <w:rsid w:val="00577ED0"/>
    <w:rsid w:val="005800AF"/>
    <w:rsid w:val="00580B93"/>
    <w:rsid w:val="00580C04"/>
    <w:rsid w:val="00580E7C"/>
    <w:rsid w:val="00582213"/>
    <w:rsid w:val="00582426"/>
    <w:rsid w:val="005826C0"/>
    <w:rsid w:val="005831F3"/>
    <w:rsid w:val="005832D4"/>
    <w:rsid w:val="00583585"/>
    <w:rsid w:val="0058370A"/>
    <w:rsid w:val="00583F80"/>
    <w:rsid w:val="0058439D"/>
    <w:rsid w:val="005856D7"/>
    <w:rsid w:val="005858FA"/>
    <w:rsid w:val="00585A38"/>
    <w:rsid w:val="00586072"/>
    <w:rsid w:val="00586161"/>
    <w:rsid w:val="00586E31"/>
    <w:rsid w:val="00587834"/>
    <w:rsid w:val="005879B6"/>
    <w:rsid w:val="00590571"/>
    <w:rsid w:val="00590EE0"/>
    <w:rsid w:val="005920FD"/>
    <w:rsid w:val="00592342"/>
    <w:rsid w:val="005925C4"/>
    <w:rsid w:val="00592DB0"/>
    <w:rsid w:val="00592F6D"/>
    <w:rsid w:val="005932F9"/>
    <w:rsid w:val="0059379B"/>
    <w:rsid w:val="00593B8B"/>
    <w:rsid w:val="00594050"/>
    <w:rsid w:val="00594129"/>
    <w:rsid w:val="0059455A"/>
    <w:rsid w:val="00594AB3"/>
    <w:rsid w:val="00594B2E"/>
    <w:rsid w:val="00594F86"/>
    <w:rsid w:val="00595267"/>
    <w:rsid w:val="005953AC"/>
    <w:rsid w:val="00595545"/>
    <w:rsid w:val="005956CF"/>
    <w:rsid w:val="005979A4"/>
    <w:rsid w:val="00597C38"/>
    <w:rsid w:val="005A0607"/>
    <w:rsid w:val="005A0F99"/>
    <w:rsid w:val="005A194C"/>
    <w:rsid w:val="005A1AF6"/>
    <w:rsid w:val="005A1B38"/>
    <w:rsid w:val="005A1E0F"/>
    <w:rsid w:val="005A2B12"/>
    <w:rsid w:val="005A31EF"/>
    <w:rsid w:val="005A36CA"/>
    <w:rsid w:val="005A3B5B"/>
    <w:rsid w:val="005A3E17"/>
    <w:rsid w:val="005A3F4C"/>
    <w:rsid w:val="005A3F7D"/>
    <w:rsid w:val="005A4ED9"/>
    <w:rsid w:val="005A5017"/>
    <w:rsid w:val="005A50DD"/>
    <w:rsid w:val="005A523F"/>
    <w:rsid w:val="005A5DF7"/>
    <w:rsid w:val="005A5F09"/>
    <w:rsid w:val="005A679A"/>
    <w:rsid w:val="005A7509"/>
    <w:rsid w:val="005A78C7"/>
    <w:rsid w:val="005A7CC0"/>
    <w:rsid w:val="005B01EE"/>
    <w:rsid w:val="005B0422"/>
    <w:rsid w:val="005B07C9"/>
    <w:rsid w:val="005B1027"/>
    <w:rsid w:val="005B17E1"/>
    <w:rsid w:val="005B19B5"/>
    <w:rsid w:val="005B1A84"/>
    <w:rsid w:val="005B1D23"/>
    <w:rsid w:val="005B2264"/>
    <w:rsid w:val="005B2558"/>
    <w:rsid w:val="005B29E0"/>
    <w:rsid w:val="005B2AEF"/>
    <w:rsid w:val="005B2C2B"/>
    <w:rsid w:val="005B2CCD"/>
    <w:rsid w:val="005B2EE5"/>
    <w:rsid w:val="005B2EFC"/>
    <w:rsid w:val="005B33F2"/>
    <w:rsid w:val="005B358D"/>
    <w:rsid w:val="005B35BB"/>
    <w:rsid w:val="005B395B"/>
    <w:rsid w:val="005B3C10"/>
    <w:rsid w:val="005B464C"/>
    <w:rsid w:val="005B48D3"/>
    <w:rsid w:val="005B4C80"/>
    <w:rsid w:val="005B51C3"/>
    <w:rsid w:val="005B5A6B"/>
    <w:rsid w:val="005B6BE8"/>
    <w:rsid w:val="005B6FD5"/>
    <w:rsid w:val="005B78F4"/>
    <w:rsid w:val="005B79AA"/>
    <w:rsid w:val="005B7E15"/>
    <w:rsid w:val="005B7FE4"/>
    <w:rsid w:val="005C007F"/>
    <w:rsid w:val="005C0A71"/>
    <w:rsid w:val="005C0BA1"/>
    <w:rsid w:val="005C0CB7"/>
    <w:rsid w:val="005C1962"/>
    <w:rsid w:val="005C1E10"/>
    <w:rsid w:val="005C22CE"/>
    <w:rsid w:val="005C2336"/>
    <w:rsid w:val="005C2753"/>
    <w:rsid w:val="005C2BD0"/>
    <w:rsid w:val="005C36CC"/>
    <w:rsid w:val="005C3FFF"/>
    <w:rsid w:val="005C49D5"/>
    <w:rsid w:val="005C4F74"/>
    <w:rsid w:val="005C5383"/>
    <w:rsid w:val="005C55A3"/>
    <w:rsid w:val="005C5656"/>
    <w:rsid w:val="005C68C0"/>
    <w:rsid w:val="005C6BE3"/>
    <w:rsid w:val="005C6D8D"/>
    <w:rsid w:val="005C740C"/>
    <w:rsid w:val="005C7559"/>
    <w:rsid w:val="005D0626"/>
    <w:rsid w:val="005D0658"/>
    <w:rsid w:val="005D08C3"/>
    <w:rsid w:val="005D0AD7"/>
    <w:rsid w:val="005D0EFD"/>
    <w:rsid w:val="005D1254"/>
    <w:rsid w:val="005D1692"/>
    <w:rsid w:val="005D19B7"/>
    <w:rsid w:val="005D2598"/>
    <w:rsid w:val="005D35BA"/>
    <w:rsid w:val="005D3B41"/>
    <w:rsid w:val="005D3B6B"/>
    <w:rsid w:val="005D3D0B"/>
    <w:rsid w:val="005D4340"/>
    <w:rsid w:val="005D4344"/>
    <w:rsid w:val="005D573D"/>
    <w:rsid w:val="005D5A62"/>
    <w:rsid w:val="005D5C6B"/>
    <w:rsid w:val="005D5DFA"/>
    <w:rsid w:val="005D5E42"/>
    <w:rsid w:val="005D5E5C"/>
    <w:rsid w:val="005D6665"/>
    <w:rsid w:val="005D66ED"/>
    <w:rsid w:val="005D67A6"/>
    <w:rsid w:val="005D69B1"/>
    <w:rsid w:val="005D6D13"/>
    <w:rsid w:val="005D701D"/>
    <w:rsid w:val="005D748F"/>
    <w:rsid w:val="005E013F"/>
    <w:rsid w:val="005E04C3"/>
    <w:rsid w:val="005E1723"/>
    <w:rsid w:val="005E1D00"/>
    <w:rsid w:val="005E1FFB"/>
    <w:rsid w:val="005E2286"/>
    <w:rsid w:val="005E2A4D"/>
    <w:rsid w:val="005E2D40"/>
    <w:rsid w:val="005E353D"/>
    <w:rsid w:val="005E3A61"/>
    <w:rsid w:val="005E3ABB"/>
    <w:rsid w:val="005E3C74"/>
    <w:rsid w:val="005E402C"/>
    <w:rsid w:val="005E4085"/>
    <w:rsid w:val="005E43A8"/>
    <w:rsid w:val="005E470E"/>
    <w:rsid w:val="005E47A3"/>
    <w:rsid w:val="005E491F"/>
    <w:rsid w:val="005E4925"/>
    <w:rsid w:val="005E4D09"/>
    <w:rsid w:val="005E4E8E"/>
    <w:rsid w:val="005E52B8"/>
    <w:rsid w:val="005E5F7C"/>
    <w:rsid w:val="005E6093"/>
    <w:rsid w:val="005E62D3"/>
    <w:rsid w:val="005E68BC"/>
    <w:rsid w:val="005E6CE2"/>
    <w:rsid w:val="005E6FDB"/>
    <w:rsid w:val="005E7042"/>
    <w:rsid w:val="005E7073"/>
    <w:rsid w:val="005E7213"/>
    <w:rsid w:val="005E77D3"/>
    <w:rsid w:val="005F15D8"/>
    <w:rsid w:val="005F2296"/>
    <w:rsid w:val="005F23A5"/>
    <w:rsid w:val="005F284E"/>
    <w:rsid w:val="005F2D60"/>
    <w:rsid w:val="005F38AD"/>
    <w:rsid w:val="005F3921"/>
    <w:rsid w:val="005F4498"/>
    <w:rsid w:val="005F4AED"/>
    <w:rsid w:val="005F4BAB"/>
    <w:rsid w:val="005F4DBF"/>
    <w:rsid w:val="005F4E55"/>
    <w:rsid w:val="005F5809"/>
    <w:rsid w:val="005F5E9E"/>
    <w:rsid w:val="005F6106"/>
    <w:rsid w:val="005F61DF"/>
    <w:rsid w:val="005F73F9"/>
    <w:rsid w:val="005F7510"/>
    <w:rsid w:val="005F79A0"/>
    <w:rsid w:val="005F7A3E"/>
    <w:rsid w:val="006001E7"/>
    <w:rsid w:val="0060091E"/>
    <w:rsid w:val="006019E9"/>
    <w:rsid w:val="00601C07"/>
    <w:rsid w:val="00601F9D"/>
    <w:rsid w:val="0060201F"/>
    <w:rsid w:val="006023FC"/>
    <w:rsid w:val="00602456"/>
    <w:rsid w:val="00602DF4"/>
    <w:rsid w:val="0060308C"/>
    <w:rsid w:val="006032A7"/>
    <w:rsid w:val="006033F1"/>
    <w:rsid w:val="0060366C"/>
    <w:rsid w:val="00603AA0"/>
    <w:rsid w:val="00603DAE"/>
    <w:rsid w:val="0060419B"/>
    <w:rsid w:val="00604245"/>
    <w:rsid w:val="006045FE"/>
    <w:rsid w:val="006046E5"/>
    <w:rsid w:val="00604AC9"/>
    <w:rsid w:val="00605061"/>
    <w:rsid w:val="006056A2"/>
    <w:rsid w:val="00605C46"/>
    <w:rsid w:val="00605CD7"/>
    <w:rsid w:val="00605D17"/>
    <w:rsid w:val="0060606D"/>
    <w:rsid w:val="00606425"/>
    <w:rsid w:val="00606599"/>
    <w:rsid w:val="006065CA"/>
    <w:rsid w:val="00606634"/>
    <w:rsid w:val="0060690E"/>
    <w:rsid w:val="00606999"/>
    <w:rsid w:val="00606B27"/>
    <w:rsid w:val="00606D09"/>
    <w:rsid w:val="00606D39"/>
    <w:rsid w:val="0060786D"/>
    <w:rsid w:val="00610113"/>
    <w:rsid w:val="006102CA"/>
    <w:rsid w:val="006104E2"/>
    <w:rsid w:val="0061072A"/>
    <w:rsid w:val="0061107C"/>
    <w:rsid w:val="00611189"/>
    <w:rsid w:val="00611287"/>
    <w:rsid w:val="00611714"/>
    <w:rsid w:val="00611715"/>
    <w:rsid w:val="00611855"/>
    <w:rsid w:val="00611B38"/>
    <w:rsid w:val="006122C1"/>
    <w:rsid w:val="00612853"/>
    <w:rsid w:val="00612C02"/>
    <w:rsid w:val="006136B7"/>
    <w:rsid w:val="006136FD"/>
    <w:rsid w:val="00613724"/>
    <w:rsid w:val="00613A0E"/>
    <w:rsid w:val="00613AAE"/>
    <w:rsid w:val="00613CF3"/>
    <w:rsid w:val="0061439E"/>
    <w:rsid w:val="0061446B"/>
    <w:rsid w:val="0061478D"/>
    <w:rsid w:val="00614929"/>
    <w:rsid w:val="00614B16"/>
    <w:rsid w:val="00615302"/>
    <w:rsid w:val="006155C4"/>
    <w:rsid w:val="006166E9"/>
    <w:rsid w:val="0061726A"/>
    <w:rsid w:val="006178C6"/>
    <w:rsid w:val="00617F52"/>
    <w:rsid w:val="00620135"/>
    <w:rsid w:val="00620980"/>
    <w:rsid w:val="006209A8"/>
    <w:rsid w:val="00620BA3"/>
    <w:rsid w:val="00620D74"/>
    <w:rsid w:val="0062130E"/>
    <w:rsid w:val="00621318"/>
    <w:rsid w:val="006224C1"/>
    <w:rsid w:val="006227DA"/>
    <w:rsid w:val="006227E2"/>
    <w:rsid w:val="00622C55"/>
    <w:rsid w:val="00622FC4"/>
    <w:rsid w:val="00623201"/>
    <w:rsid w:val="00623DF9"/>
    <w:rsid w:val="006243A6"/>
    <w:rsid w:val="00624561"/>
    <w:rsid w:val="006245CF"/>
    <w:rsid w:val="00624960"/>
    <w:rsid w:val="00624E24"/>
    <w:rsid w:val="00624E2C"/>
    <w:rsid w:val="00624F02"/>
    <w:rsid w:val="00625084"/>
    <w:rsid w:val="00625A03"/>
    <w:rsid w:val="00625B2F"/>
    <w:rsid w:val="00625E67"/>
    <w:rsid w:val="00626187"/>
    <w:rsid w:val="00626984"/>
    <w:rsid w:val="00626C24"/>
    <w:rsid w:val="006271D9"/>
    <w:rsid w:val="00627F32"/>
    <w:rsid w:val="006303EF"/>
    <w:rsid w:val="0063084D"/>
    <w:rsid w:val="006308F0"/>
    <w:rsid w:val="0063091A"/>
    <w:rsid w:val="00630BB7"/>
    <w:rsid w:val="00631186"/>
    <w:rsid w:val="00631339"/>
    <w:rsid w:val="006313F5"/>
    <w:rsid w:val="0063193D"/>
    <w:rsid w:val="00631D45"/>
    <w:rsid w:val="00632061"/>
    <w:rsid w:val="00632592"/>
    <w:rsid w:val="00632655"/>
    <w:rsid w:val="00632745"/>
    <w:rsid w:val="00632AF4"/>
    <w:rsid w:val="006333A3"/>
    <w:rsid w:val="00633683"/>
    <w:rsid w:val="006337ED"/>
    <w:rsid w:val="006346B7"/>
    <w:rsid w:val="00634865"/>
    <w:rsid w:val="00634F79"/>
    <w:rsid w:val="00635631"/>
    <w:rsid w:val="00635980"/>
    <w:rsid w:val="00635E0B"/>
    <w:rsid w:val="00635EC5"/>
    <w:rsid w:val="0063602C"/>
    <w:rsid w:val="00636477"/>
    <w:rsid w:val="00636B38"/>
    <w:rsid w:val="00636FC0"/>
    <w:rsid w:val="006373C5"/>
    <w:rsid w:val="00637486"/>
    <w:rsid w:val="006376ED"/>
    <w:rsid w:val="00637724"/>
    <w:rsid w:val="0063777F"/>
    <w:rsid w:val="00637AC7"/>
    <w:rsid w:val="00637D6C"/>
    <w:rsid w:val="006406C4"/>
    <w:rsid w:val="00640734"/>
    <w:rsid w:val="006408FB"/>
    <w:rsid w:val="00640936"/>
    <w:rsid w:val="00640C20"/>
    <w:rsid w:val="0064135E"/>
    <w:rsid w:val="006418AF"/>
    <w:rsid w:val="00641B34"/>
    <w:rsid w:val="00641D61"/>
    <w:rsid w:val="00642430"/>
    <w:rsid w:val="006425E4"/>
    <w:rsid w:val="0064260A"/>
    <w:rsid w:val="00643543"/>
    <w:rsid w:val="006448F8"/>
    <w:rsid w:val="006453C5"/>
    <w:rsid w:val="006458EC"/>
    <w:rsid w:val="00645F23"/>
    <w:rsid w:val="00646B3D"/>
    <w:rsid w:val="00646C1B"/>
    <w:rsid w:val="00647477"/>
    <w:rsid w:val="006475CE"/>
    <w:rsid w:val="00647EB3"/>
    <w:rsid w:val="00651138"/>
    <w:rsid w:val="006511A3"/>
    <w:rsid w:val="00651330"/>
    <w:rsid w:val="00651807"/>
    <w:rsid w:val="00651A62"/>
    <w:rsid w:val="006520A7"/>
    <w:rsid w:val="006527A8"/>
    <w:rsid w:val="00653100"/>
    <w:rsid w:val="006535F3"/>
    <w:rsid w:val="00653FA4"/>
    <w:rsid w:val="00654789"/>
    <w:rsid w:val="006550B5"/>
    <w:rsid w:val="0065570F"/>
    <w:rsid w:val="006559C3"/>
    <w:rsid w:val="00655A00"/>
    <w:rsid w:val="00655A3B"/>
    <w:rsid w:val="006561D7"/>
    <w:rsid w:val="0065633E"/>
    <w:rsid w:val="006566F6"/>
    <w:rsid w:val="00656A22"/>
    <w:rsid w:val="00656C30"/>
    <w:rsid w:val="00657213"/>
    <w:rsid w:val="0065733C"/>
    <w:rsid w:val="00657611"/>
    <w:rsid w:val="00657C0B"/>
    <w:rsid w:val="00657D09"/>
    <w:rsid w:val="00660500"/>
    <w:rsid w:val="00660964"/>
    <w:rsid w:val="00660AD6"/>
    <w:rsid w:val="00660FB3"/>
    <w:rsid w:val="006610A6"/>
    <w:rsid w:val="006613E6"/>
    <w:rsid w:val="006616A5"/>
    <w:rsid w:val="00661C98"/>
    <w:rsid w:val="00661E38"/>
    <w:rsid w:val="00661E6C"/>
    <w:rsid w:val="0066237F"/>
    <w:rsid w:val="00662E47"/>
    <w:rsid w:val="006632F9"/>
    <w:rsid w:val="006638CB"/>
    <w:rsid w:val="00663B82"/>
    <w:rsid w:val="00663BF7"/>
    <w:rsid w:val="00663EDB"/>
    <w:rsid w:val="00664219"/>
    <w:rsid w:val="00664482"/>
    <w:rsid w:val="00664755"/>
    <w:rsid w:val="00664DA9"/>
    <w:rsid w:val="0066598D"/>
    <w:rsid w:val="006659BE"/>
    <w:rsid w:val="00665B1A"/>
    <w:rsid w:val="00665E7A"/>
    <w:rsid w:val="00665F2F"/>
    <w:rsid w:val="00666160"/>
    <w:rsid w:val="00666945"/>
    <w:rsid w:val="00666C63"/>
    <w:rsid w:val="00666E11"/>
    <w:rsid w:val="00670201"/>
    <w:rsid w:val="00670A6D"/>
    <w:rsid w:val="006711C0"/>
    <w:rsid w:val="00671CBE"/>
    <w:rsid w:val="00671EF5"/>
    <w:rsid w:val="00672DC7"/>
    <w:rsid w:val="00672DD5"/>
    <w:rsid w:val="00673566"/>
    <w:rsid w:val="006735D1"/>
    <w:rsid w:val="00673610"/>
    <w:rsid w:val="00673937"/>
    <w:rsid w:val="00674346"/>
    <w:rsid w:val="006746A3"/>
    <w:rsid w:val="00675797"/>
    <w:rsid w:val="00675919"/>
    <w:rsid w:val="00675A26"/>
    <w:rsid w:val="00675F26"/>
    <w:rsid w:val="00676100"/>
    <w:rsid w:val="006764B3"/>
    <w:rsid w:val="00676C85"/>
    <w:rsid w:val="00677649"/>
    <w:rsid w:val="00677856"/>
    <w:rsid w:val="0068029C"/>
    <w:rsid w:val="0068062F"/>
    <w:rsid w:val="00680F24"/>
    <w:rsid w:val="0068135E"/>
    <w:rsid w:val="00681447"/>
    <w:rsid w:val="0068146E"/>
    <w:rsid w:val="00681683"/>
    <w:rsid w:val="00681700"/>
    <w:rsid w:val="00682811"/>
    <w:rsid w:val="00682E00"/>
    <w:rsid w:val="00683FDC"/>
    <w:rsid w:val="0068420A"/>
    <w:rsid w:val="006847AF"/>
    <w:rsid w:val="006849CE"/>
    <w:rsid w:val="00684A24"/>
    <w:rsid w:val="006858E7"/>
    <w:rsid w:val="00685AF2"/>
    <w:rsid w:val="00685B20"/>
    <w:rsid w:val="00687182"/>
    <w:rsid w:val="00687AFB"/>
    <w:rsid w:val="00687B79"/>
    <w:rsid w:val="00687E61"/>
    <w:rsid w:val="00687F60"/>
    <w:rsid w:val="00687FDD"/>
    <w:rsid w:val="00690064"/>
    <w:rsid w:val="006905C6"/>
    <w:rsid w:val="006907C5"/>
    <w:rsid w:val="00690A19"/>
    <w:rsid w:val="00690AC3"/>
    <w:rsid w:val="00690E16"/>
    <w:rsid w:val="0069109A"/>
    <w:rsid w:val="00691426"/>
    <w:rsid w:val="00691446"/>
    <w:rsid w:val="006917CD"/>
    <w:rsid w:val="00691B34"/>
    <w:rsid w:val="00691D95"/>
    <w:rsid w:val="00691DFE"/>
    <w:rsid w:val="006924C1"/>
    <w:rsid w:val="00692780"/>
    <w:rsid w:val="00692A00"/>
    <w:rsid w:val="006934ED"/>
    <w:rsid w:val="00693548"/>
    <w:rsid w:val="00693595"/>
    <w:rsid w:val="00693928"/>
    <w:rsid w:val="006939D7"/>
    <w:rsid w:val="006941FC"/>
    <w:rsid w:val="006947A9"/>
    <w:rsid w:val="006949D2"/>
    <w:rsid w:val="00694C06"/>
    <w:rsid w:val="00694C5F"/>
    <w:rsid w:val="00695140"/>
    <w:rsid w:val="006955B2"/>
    <w:rsid w:val="00696587"/>
    <w:rsid w:val="00696917"/>
    <w:rsid w:val="00696A58"/>
    <w:rsid w:val="006971D7"/>
    <w:rsid w:val="0069746E"/>
    <w:rsid w:val="00697544"/>
    <w:rsid w:val="00697946"/>
    <w:rsid w:val="00697C4E"/>
    <w:rsid w:val="006A028F"/>
    <w:rsid w:val="006A0AF2"/>
    <w:rsid w:val="006A0DE8"/>
    <w:rsid w:val="006A1331"/>
    <w:rsid w:val="006A14AE"/>
    <w:rsid w:val="006A2333"/>
    <w:rsid w:val="006A23D3"/>
    <w:rsid w:val="006A2E01"/>
    <w:rsid w:val="006A38F5"/>
    <w:rsid w:val="006A3903"/>
    <w:rsid w:val="006A3F08"/>
    <w:rsid w:val="006A4A9C"/>
    <w:rsid w:val="006A4D43"/>
    <w:rsid w:val="006A5A30"/>
    <w:rsid w:val="006A6325"/>
    <w:rsid w:val="006A6E1D"/>
    <w:rsid w:val="006A71A2"/>
    <w:rsid w:val="006A72F2"/>
    <w:rsid w:val="006A742B"/>
    <w:rsid w:val="006A757A"/>
    <w:rsid w:val="006A77B9"/>
    <w:rsid w:val="006A7A0B"/>
    <w:rsid w:val="006B0328"/>
    <w:rsid w:val="006B15F7"/>
    <w:rsid w:val="006B169E"/>
    <w:rsid w:val="006B177F"/>
    <w:rsid w:val="006B1A42"/>
    <w:rsid w:val="006B1A89"/>
    <w:rsid w:val="006B2842"/>
    <w:rsid w:val="006B2E90"/>
    <w:rsid w:val="006B2E9F"/>
    <w:rsid w:val="006B32AB"/>
    <w:rsid w:val="006B33B4"/>
    <w:rsid w:val="006B388A"/>
    <w:rsid w:val="006B4253"/>
    <w:rsid w:val="006B43EC"/>
    <w:rsid w:val="006B4B3F"/>
    <w:rsid w:val="006B5691"/>
    <w:rsid w:val="006B58E6"/>
    <w:rsid w:val="006B652D"/>
    <w:rsid w:val="006B65A7"/>
    <w:rsid w:val="006B682E"/>
    <w:rsid w:val="006B68E0"/>
    <w:rsid w:val="006B6ABD"/>
    <w:rsid w:val="006B6C95"/>
    <w:rsid w:val="006B6F8B"/>
    <w:rsid w:val="006B72FB"/>
    <w:rsid w:val="006B7F66"/>
    <w:rsid w:val="006C1910"/>
    <w:rsid w:val="006C1AC7"/>
    <w:rsid w:val="006C209F"/>
    <w:rsid w:val="006C2544"/>
    <w:rsid w:val="006C320A"/>
    <w:rsid w:val="006C32DC"/>
    <w:rsid w:val="006C3577"/>
    <w:rsid w:val="006C35A6"/>
    <w:rsid w:val="006C37F9"/>
    <w:rsid w:val="006C3998"/>
    <w:rsid w:val="006C3EC7"/>
    <w:rsid w:val="006C4BC8"/>
    <w:rsid w:val="006C4E53"/>
    <w:rsid w:val="006C56DA"/>
    <w:rsid w:val="006C5846"/>
    <w:rsid w:val="006C58F9"/>
    <w:rsid w:val="006C60D0"/>
    <w:rsid w:val="006C6511"/>
    <w:rsid w:val="006C655B"/>
    <w:rsid w:val="006C76FB"/>
    <w:rsid w:val="006C79C1"/>
    <w:rsid w:val="006D001F"/>
    <w:rsid w:val="006D1884"/>
    <w:rsid w:val="006D1972"/>
    <w:rsid w:val="006D19FD"/>
    <w:rsid w:val="006D1A13"/>
    <w:rsid w:val="006D1F1E"/>
    <w:rsid w:val="006D329F"/>
    <w:rsid w:val="006D32F6"/>
    <w:rsid w:val="006D40DE"/>
    <w:rsid w:val="006D4362"/>
    <w:rsid w:val="006D49AC"/>
    <w:rsid w:val="006D4A96"/>
    <w:rsid w:val="006D4AA0"/>
    <w:rsid w:val="006D4B3F"/>
    <w:rsid w:val="006D4C62"/>
    <w:rsid w:val="006D547A"/>
    <w:rsid w:val="006D554A"/>
    <w:rsid w:val="006D56A5"/>
    <w:rsid w:val="006D5A84"/>
    <w:rsid w:val="006D5B3B"/>
    <w:rsid w:val="006D5C23"/>
    <w:rsid w:val="006D60C2"/>
    <w:rsid w:val="006D629F"/>
    <w:rsid w:val="006D67E2"/>
    <w:rsid w:val="006D698F"/>
    <w:rsid w:val="006D6D66"/>
    <w:rsid w:val="006D712C"/>
    <w:rsid w:val="006D7ADA"/>
    <w:rsid w:val="006D7B17"/>
    <w:rsid w:val="006E0D0F"/>
    <w:rsid w:val="006E0EB4"/>
    <w:rsid w:val="006E1047"/>
    <w:rsid w:val="006E1373"/>
    <w:rsid w:val="006E16AE"/>
    <w:rsid w:val="006E1820"/>
    <w:rsid w:val="006E237B"/>
    <w:rsid w:val="006E29A5"/>
    <w:rsid w:val="006E2B1A"/>
    <w:rsid w:val="006E2B36"/>
    <w:rsid w:val="006E2E83"/>
    <w:rsid w:val="006E3552"/>
    <w:rsid w:val="006E3763"/>
    <w:rsid w:val="006E37A9"/>
    <w:rsid w:val="006E38D8"/>
    <w:rsid w:val="006E3A5D"/>
    <w:rsid w:val="006E4250"/>
    <w:rsid w:val="006E43AD"/>
    <w:rsid w:val="006E45C9"/>
    <w:rsid w:val="006E4C13"/>
    <w:rsid w:val="006E638A"/>
    <w:rsid w:val="006E6450"/>
    <w:rsid w:val="006E66B8"/>
    <w:rsid w:val="006E69CC"/>
    <w:rsid w:val="006E6A83"/>
    <w:rsid w:val="006E6BD0"/>
    <w:rsid w:val="006E6C7A"/>
    <w:rsid w:val="006E7200"/>
    <w:rsid w:val="006E7C12"/>
    <w:rsid w:val="006F07C5"/>
    <w:rsid w:val="006F0849"/>
    <w:rsid w:val="006F0A20"/>
    <w:rsid w:val="006F0BE7"/>
    <w:rsid w:val="006F0E5F"/>
    <w:rsid w:val="006F1312"/>
    <w:rsid w:val="006F1D3B"/>
    <w:rsid w:val="006F1D7D"/>
    <w:rsid w:val="006F1DCA"/>
    <w:rsid w:val="006F1DDA"/>
    <w:rsid w:val="006F1EFB"/>
    <w:rsid w:val="006F265F"/>
    <w:rsid w:val="006F2755"/>
    <w:rsid w:val="006F32B3"/>
    <w:rsid w:val="006F3389"/>
    <w:rsid w:val="006F41C3"/>
    <w:rsid w:val="006F44B3"/>
    <w:rsid w:val="006F460E"/>
    <w:rsid w:val="006F4649"/>
    <w:rsid w:val="006F4DBC"/>
    <w:rsid w:val="006F5135"/>
    <w:rsid w:val="006F54CC"/>
    <w:rsid w:val="006F5528"/>
    <w:rsid w:val="006F552B"/>
    <w:rsid w:val="006F5782"/>
    <w:rsid w:val="006F5850"/>
    <w:rsid w:val="006F6039"/>
    <w:rsid w:val="006F6255"/>
    <w:rsid w:val="006F6453"/>
    <w:rsid w:val="006F6659"/>
    <w:rsid w:val="006F71DA"/>
    <w:rsid w:val="006F7504"/>
    <w:rsid w:val="006F7553"/>
    <w:rsid w:val="006F79AB"/>
    <w:rsid w:val="006F7E8D"/>
    <w:rsid w:val="007005DF"/>
    <w:rsid w:val="0070081B"/>
    <w:rsid w:val="007009F8"/>
    <w:rsid w:val="00700C8C"/>
    <w:rsid w:val="0070113A"/>
    <w:rsid w:val="0070184A"/>
    <w:rsid w:val="00701A88"/>
    <w:rsid w:val="00701ACD"/>
    <w:rsid w:val="00701B21"/>
    <w:rsid w:val="00701D40"/>
    <w:rsid w:val="007024F0"/>
    <w:rsid w:val="007026C0"/>
    <w:rsid w:val="007026D6"/>
    <w:rsid w:val="00702909"/>
    <w:rsid w:val="00702CAC"/>
    <w:rsid w:val="007032DC"/>
    <w:rsid w:val="007032E8"/>
    <w:rsid w:val="00703E35"/>
    <w:rsid w:val="00704168"/>
    <w:rsid w:val="00704686"/>
    <w:rsid w:val="0070483F"/>
    <w:rsid w:val="00704987"/>
    <w:rsid w:val="00704C82"/>
    <w:rsid w:val="00704E4F"/>
    <w:rsid w:val="00705989"/>
    <w:rsid w:val="00705BDB"/>
    <w:rsid w:val="00705C33"/>
    <w:rsid w:val="00705FBF"/>
    <w:rsid w:val="007060FE"/>
    <w:rsid w:val="00706330"/>
    <w:rsid w:val="00706F15"/>
    <w:rsid w:val="00710043"/>
    <w:rsid w:val="00710138"/>
    <w:rsid w:val="007105EE"/>
    <w:rsid w:val="007109B3"/>
    <w:rsid w:val="00710A63"/>
    <w:rsid w:val="00710C6F"/>
    <w:rsid w:val="00710E30"/>
    <w:rsid w:val="0071128B"/>
    <w:rsid w:val="00711895"/>
    <w:rsid w:val="007119C8"/>
    <w:rsid w:val="00711ECE"/>
    <w:rsid w:val="00711FDE"/>
    <w:rsid w:val="007130A0"/>
    <w:rsid w:val="00713159"/>
    <w:rsid w:val="007133FE"/>
    <w:rsid w:val="00713598"/>
    <w:rsid w:val="0071382D"/>
    <w:rsid w:val="00713884"/>
    <w:rsid w:val="00713A65"/>
    <w:rsid w:val="00714100"/>
    <w:rsid w:val="00714199"/>
    <w:rsid w:val="007142F6"/>
    <w:rsid w:val="007149A9"/>
    <w:rsid w:val="00714DD2"/>
    <w:rsid w:val="00714DE0"/>
    <w:rsid w:val="00715B0A"/>
    <w:rsid w:val="00715CC6"/>
    <w:rsid w:val="0071610F"/>
    <w:rsid w:val="00716205"/>
    <w:rsid w:val="00716403"/>
    <w:rsid w:val="007166D2"/>
    <w:rsid w:val="00716880"/>
    <w:rsid w:val="00716A9D"/>
    <w:rsid w:val="00716AF5"/>
    <w:rsid w:val="007170CB"/>
    <w:rsid w:val="007174AD"/>
    <w:rsid w:val="007200B1"/>
    <w:rsid w:val="00720746"/>
    <w:rsid w:val="00720860"/>
    <w:rsid w:val="00720B93"/>
    <w:rsid w:val="00720E47"/>
    <w:rsid w:val="00721197"/>
    <w:rsid w:val="007211E8"/>
    <w:rsid w:val="00721205"/>
    <w:rsid w:val="00721638"/>
    <w:rsid w:val="00721651"/>
    <w:rsid w:val="00721691"/>
    <w:rsid w:val="00721B73"/>
    <w:rsid w:val="007220CD"/>
    <w:rsid w:val="007223A3"/>
    <w:rsid w:val="00722486"/>
    <w:rsid w:val="00722829"/>
    <w:rsid w:val="00722C14"/>
    <w:rsid w:val="00723705"/>
    <w:rsid w:val="0072384A"/>
    <w:rsid w:val="007238C7"/>
    <w:rsid w:val="00724227"/>
    <w:rsid w:val="00724AC4"/>
    <w:rsid w:val="00724C04"/>
    <w:rsid w:val="00724C3A"/>
    <w:rsid w:val="00724F94"/>
    <w:rsid w:val="0072518A"/>
    <w:rsid w:val="0072534C"/>
    <w:rsid w:val="0072540F"/>
    <w:rsid w:val="00725625"/>
    <w:rsid w:val="00725702"/>
    <w:rsid w:val="0072598D"/>
    <w:rsid w:val="00725A9C"/>
    <w:rsid w:val="00726201"/>
    <w:rsid w:val="00726775"/>
    <w:rsid w:val="00727C3E"/>
    <w:rsid w:val="00727C66"/>
    <w:rsid w:val="0073032D"/>
    <w:rsid w:val="00730BFB"/>
    <w:rsid w:val="00730CAB"/>
    <w:rsid w:val="00730CC7"/>
    <w:rsid w:val="00730F7D"/>
    <w:rsid w:val="007314F8"/>
    <w:rsid w:val="00731535"/>
    <w:rsid w:val="00731622"/>
    <w:rsid w:val="0073165A"/>
    <w:rsid w:val="00731678"/>
    <w:rsid w:val="00731E16"/>
    <w:rsid w:val="00732242"/>
    <w:rsid w:val="00732754"/>
    <w:rsid w:val="0073345B"/>
    <w:rsid w:val="00733BB0"/>
    <w:rsid w:val="00733BB7"/>
    <w:rsid w:val="00736434"/>
    <w:rsid w:val="00736D52"/>
    <w:rsid w:val="00737584"/>
    <w:rsid w:val="007377F9"/>
    <w:rsid w:val="00737AC2"/>
    <w:rsid w:val="00740627"/>
    <w:rsid w:val="00740D0B"/>
    <w:rsid w:val="00741174"/>
    <w:rsid w:val="00741185"/>
    <w:rsid w:val="007411BA"/>
    <w:rsid w:val="00741476"/>
    <w:rsid w:val="00741869"/>
    <w:rsid w:val="00741A0D"/>
    <w:rsid w:val="0074205F"/>
    <w:rsid w:val="007420AA"/>
    <w:rsid w:val="0074248F"/>
    <w:rsid w:val="007428D4"/>
    <w:rsid w:val="00742B89"/>
    <w:rsid w:val="00742C0B"/>
    <w:rsid w:val="00743050"/>
    <w:rsid w:val="0074383C"/>
    <w:rsid w:val="00743BFF"/>
    <w:rsid w:val="0074418E"/>
    <w:rsid w:val="007441AA"/>
    <w:rsid w:val="00744662"/>
    <w:rsid w:val="00744948"/>
    <w:rsid w:val="00745870"/>
    <w:rsid w:val="00745A36"/>
    <w:rsid w:val="00745BE5"/>
    <w:rsid w:val="00745E4A"/>
    <w:rsid w:val="007464DE"/>
    <w:rsid w:val="007465DD"/>
    <w:rsid w:val="00746D09"/>
    <w:rsid w:val="00746DD4"/>
    <w:rsid w:val="0074784F"/>
    <w:rsid w:val="007479EF"/>
    <w:rsid w:val="00747DBC"/>
    <w:rsid w:val="00747E5D"/>
    <w:rsid w:val="00750167"/>
    <w:rsid w:val="00750388"/>
    <w:rsid w:val="00750441"/>
    <w:rsid w:val="0075076B"/>
    <w:rsid w:val="00750B87"/>
    <w:rsid w:val="00750BBA"/>
    <w:rsid w:val="00750E3B"/>
    <w:rsid w:val="00751779"/>
    <w:rsid w:val="00751A4A"/>
    <w:rsid w:val="00751CB1"/>
    <w:rsid w:val="00751E0A"/>
    <w:rsid w:val="00752B7D"/>
    <w:rsid w:val="00752BD0"/>
    <w:rsid w:val="00753014"/>
    <w:rsid w:val="00753325"/>
    <w:rsid w:val="00753466"/>
    <w:rsid w:val="00753575"/>
    <w:rsid w:val="0075387F"/>
    <w:rsid w:val="007538D7"/>
    <w:rsid w:val="0075401E"/>
    <w:rsid w:val="00754057"/>
    <w:rsid w:val="0075426C"/>
    <w:rsid w:val="00754659"/>
    <w:rsid w:val="007549D5"/>
    <w:rsid w:val="00754B26"/>
    <w:rsid w:val="00754C00"/>
    <w:rsid w:val="00755054"/>
    <w:rsid w:val="007558B2"/>
    <w:rsid w:val="00755922"/>
    <w:rsid w:val="00755C4F"/>
    <w:rsid w:val="00755D63"/>
    <w:rsid w:val="00755E8C"/>
    <w:rsid w:val="00755F24"/>
    <w:rsid w:val="0075620D"/>
    <w:rsid w:val="007562A4"/>
    <w:rsid w:val="0075653A"/>
    <w:rsid w:val="0075669C"/>
    <w:rsid w:val="00756949"/>
    <w:rsid w:val="00756EA1"/>
    <w:rsid w:val="00756F34"/>
    <w:rsid w:val="00756FA2"/>
    <w:rsid w:val="007570EA"/>
    <w:rsid w:val="007577E3"/>
    <w:rsid w:val="00757AFA"/>
    <w:rsid w:val="00757CF9"/>
    <w:rsid w:val="00760556"/>
    <w:rsid w:val="00760A57"/>
    <w:rsid w:val="00760A76"/>
    <w:rsid w:val="00760B57"/>
    <w:rsid w:val="0076168A"/>
    <w:rsid w:val="00761785"/>
    <w:rsid w:val="007618BB"/>
    <w:rsid w:val="0076191A"/>
    <w:rsid w:val="007621B2"/>
    <w:rsid w:val="0076244C"/>
    <w:rsid w:val="00762627"/>
    <w:rsid w:val="00762695"/>
    <w:rsid w:val="00762831"/>
    <w:rsid w:val="00762F01"/>
    <w:rsid w:val="00763581"/>
    <w:rsid w:val="00763A58"/>
    <w:rsid w:val="00763BBB"/>
    <w:rsid w:val="00763F19"/>
    <w:rsid w:val="0076436E"/>
    <w:rsid w:val="0076447C"/>
    <w:rsid w:val="0076463A"/>
    <w:rsid w:val="00764FC1"/>
    <w:rsid w:val="007651E9"/>
    <w:rsid w:val="0076596A"/>
    <w:rsid w:val="00766451"/>
    <w:rsid w:val="00766537"/>
    <w:rsid w:val="007665A0"/>
    <w:rsid w:val="00766930"/>
    <w:rsid w:val="0076732F"/>
    <w:rsid w:val="007676A3"/>
    <w:rsid w:val="007679CC"/>
    <w:rsid w:val="00767B6E"/>
    <w:rsid w:val="00770433"/>
    <w:rsid w:val="00770DD5"/>
    <w:rsid w:val="007716FE"/>
    <w:rsid w:val="00771986"/>
    <w:rsid w:val="00771CC1"/>
    <w:rsid w:val="00771D68"/>
    <w:rsid w:val="007720E2"/>
    <w:rsid w:val="007726E3"/>
    <w:rsid w:val="00772C7E"/>
    <w:rsid w:val="007730AD"/>
    <w:rsid w:val="00773707"/>
    <w:rsid w:val="00773DB2"/>
    <w:rsid w:val="007741C6"/>
    <w:rsid w:val="00774760"/>
    <w:rsid w:val="00774FD6"/>
    <w:rsid w:val="007750A8"/>
    <w:rsid w:val="0077531B"/>
    <w:rsid w:val="00775C6A"/>
    <w:rsid w:val="00776B70"/>
    <w:rsid w:val="00776C6B"/>
    <w:rsid w:val="00776F5E"/>
    <w:rsid w:val="00777E02"/>
    <w:rsid w:val="00777FC8"/>
    <w:rsid w:val="0078088D"/>
    <w:rsid w:val="00780C10"/>
    <w:rsid w:val="007811EE"/>
    <w:rsid w:val="007813FD"/>
    <w:rsid w:val="00781422"/>
    <w:rsid w:val="0078153D"/>
    <w:rsid w:val="0078180D"/>
    <w:rsid w:val="00781EEF"/>
    <w:rsid w:val="00781FA5"/>
    <w:rsid w:val="00782936"/>
    <w:rsid w:val="00782C2E"/>
    <w:rsid w:val="00782CB2"/>
    <w:rsid w:val="00782E60"/>
    <w:rsid w:val="00783061"/>
    <w:rsid w:val="00783131"/>
    <w:rsid w:val="007834B3"/>
    <w:rsid w:val="00783607"/>
    <w:rsid w:val="00783B67"/>
    <w:rsid w:val="007840C8"/>
    <w:rsid w:val="0078428E"/>
    <w:rsid w:val="007844B0"/>
    <w:rsid w:val="00784F7E"/>
    <w:rsid w:val="00785371"/>
    <w:rsid w:val="00785485"/>
    <w:rsid w:val="00785826"/>
    <w:rsid w:val="00785922"/>
    <w:rsid w:val="007859CD"/>
    <w:rsid w:val="007859D8"/>
    <w:rsid w:val="00785CBD"/>
    <w:rsid w:val="00785F2E"/>
    <w:rsid w:val="0078616D"/>
    <w:rsid w:val="00786446"/>
    <w:rsid w:val="007867FA"/>
    <w:rsid w:val="00786E47"/>
    <w:rsid w:val="00786F76"/>
    <w:rsid w:val="0078711C"/>
    <w:rsid w:val="007873EC"/>
    <w:rsid w:val="00787ABC"/>
    <w:rsid w:val="00787F0D"/>
    <w:rsid w:val="007902A4"/>
    <w:rsid w:val="00790371"/>
    <w:rsid w:val="00790C62"/>
    <w:rsid w:val="00790DCB"/>
    <w:rsid w:val="00790E98"/>
    <w:rsid w:val="00791DFD"/>
    <w:rsid w:val="00791E78"/>
    <w:rsid w:val="00791F10"/>
    <w:rsid w:val="00791FB1"/>
    <w:rsid w:val="00792103"/>
    <w:rsid w:val="0079227F"/>
    <w:rsid w:val="0079278F"/>
    <w:rsid w:val="00792B66"/>
    <w:rsid w:val="00792F6A"/>
    <w:rsid w:val="007932FA"/>
    <w:rsid w:val="00793532"/>
    <w:rsid w:val="007936EB"/>
    <w:rsid w:val="0079375D"/>
    <w:rsid w:val="00793905"/>
    <w:rsid w:val="00793B3F"/>
    <w:rsid w:val="00794187"/>
    <w:rsid w:val="007941DA"/>
    <w:rsid w:val="00794E05"/>
    <w:rsid w:val="00794E0C"/>
    <w:rsid w:val="0079513D"/>
    <w:rsid w:val="00795274"/>
    <w:rsid w:val="0079537D"/>
    <w:rsid w:val="007953AD"/>
    <w:rsid w:val="00795B9A"/>
    <w:rsid w:val="00796998"/>
    <w:rsid w:val="00796C04"/>
    <w:rsid w:val="00797192"/>
    <w:rsid w:val="0079749C"/>
    <w:rsid w:val="007974D3"/>
    <w:rsid w:val="00797879"/>
    <w:rsid w:val="00797A77"/>
    <w:rsid w:val="00797A95"/>
    <w:rsid w:val="00797DA6"/>
    <w:rsid w:val="007A009F"/>
    <w:rsid w:val="007A0181"/>
    <w:rsid w:val="007A02C8"/>
    <w:rsid w:val="007A054B"/>
    <w:rsid w:val="007A092E"/>
    <w:rsid w:val="007A0EA7"/>
    <w:rsid w:val="007A14D7"/>
    <w:rsid w:val="007A1722"/>
    <w:rsid w:val="007A17D9"/>
    <w:rsid w:val="007A1864"/>
    <w:rsid w:val="007A1C1D"/>
    <w:rsid w:val="007A2437"/>
    <w:rsid w:val="007A2D80"/>
    <w:rsid w:val="007A2F0C"/>
    <w:rsid w:val="007A301D"/>
    <w:rsid w:val="007A30DC"/>
    <w:rsid w:val="007A3A04"/>
    <w:rsid w:val="007A3DDC"/>
    <w:rsid w:val="007A3FAA"/>
    <w:rsid w:val="007A4149"/>
    <w:rsid w:val="007A4538"/>
    <w:rsid w:val="007A47E6"/>
    <w:rsid w:val="007A48C1"/>
    <w:rsid w:val="007A54A9"/>
    <w:rsid w:val="007A589A"/>
    <w:rsid w:val="007A5C2A"/>
    <w:rsid w:val="007A6928"/>
    <w:rsid w:val="007A6B9A"/>
    <w:rsid w:val="007A6CD4"/>
    <w:rsid w:val="007A728F"/>
    <w:rsid w:val="007A7425"/>
    <w:rsid w:val="007A76CD"/>
    <w:rsid w:val="007A7DB2"/>
    <w:rsid w:val="007A7F70"/>
    <w:rsid w:val="007B00C2"/>
    <w:rsid w:val="007B04D9"/>
    <w:rsid w:val="007B06C1"/>
    <w:rsid w:val="007B083C"/>
    <w:rsid w:val="007B0E7A"/>
    <w:rsid w:val="007B0EA0"/>
    <w:rsid w:val="007B112B"/>
    <w:rsid w:val="007B1340"/>
    <w:rsid w:val="007B15BE"/>
    <w:rsid w:val="007B186E"/>
    <w:rsid w:val="007B2126"/>
    <w:rsid w:val="007B21CB"/>
    <w:rsid w:val="007B2224"/>
    <w:rsid w:val="007B26D2"/>
    <w:rsid w:val="007B2A5B"/>
    <w:rsid w:val="007B2BBC"/>
    <w:rsid w:val="007B2D12"/>
    <w:rsid w:val="007B30FF"/>
    <w:rsid w:val="007B3242"/>
    <w:rsid w:val="007B3524"/>
    <w:rsid w:val="007B35AF"/>
    <w:rsid w:val="007B36AD"/>
    <w:rsid w:val="007B3898"/>
    <w:rsid w:val="007B3A78"/>
    <w:rsid w:val="007B3B7E"/>
    <w:rsid w:val="007B4E30"/>
    <w:rsid w:val="007B4FF3"/>
    <w:rsid w:val="007B52E2"/>
    <w:rsid w:val="007B53E5"/>
    <w:rsid w:val="007B5763"/>
    <w:rsid w:val="007B5907"/>
    <w:rsid w:val="007B5EBA"/>
    <w:rsid w:val="007B6D98"/>
    <w:rsid w:val="007B70FB"/>
    <w:rsid w:val="007B748C"/>
    <w:rsid w:val="007B7708"/>
    <w:rsid w:val="007B78A2"/>
    <w:rsid w:val="007C0362"/>
    <w:rsid w:val="007C0382"/>
    <w:rsid w:val="007C04D7"/>
    <w:rsid w:val="007C0A80"/>
    <w:rsid w:val="007C1072"/>
    <w:rsid w:val="007C142A"/>
    <w:rsid w:val="007C14A5"/>
    <w:rsid w:val="007C1C58"/>
    <w:rsid w:val="007C1F67"/>
    <w:rsid w:val="007C35C3"/>
    <w:rsid w:val="007C3960"/>
    <w:rsid w:val="007C3C7A"/>
    <w:rsid w:val="007C418C"/>
    <w:rsid w:val="007C42BA"/>
    <w:rsid w:val="007C48DA"/>
    <w:rsid w:val="007C5125"/>
    <w:rsid w:val="007C573A"/>
    <w:rsid w:val="007C5967"/>
    <w:rsid w:val="007C6182"/>
    <w:rsid w:val="007C65E8"/>
    <w:rsid w:val="007C69FD"/>
    <w:rsid w:val="007C752D"/>
    <w:rsid w:val="007D007F"/>
    <w:rsid w:val="007D07B2"/>
    <w:rsid w:val="007D07F3"/>
    <w:rsid w:val="007D0E23"/>
    <w:rsid w:val="007D1222"/>
    <w:rsid w:val="007D14CF"/>
    <w:rsid w:val="007D14E8"/>
    <w:rsid w:val="007D1DA4"/>
    <w:rsid w:val="007D244F"/>
    <w:rsid w:val="007D29A4"/>
    <w:rsid w:val="007D29D3"/>
    <w:rsid w:val="007D2E8C"/>
    <w:rsid w:val="007D36A7"/>
    <w:rsid w:val="007D3827"/>
    <w:rsid w:val="007D3CD8"/>
    <w:rsid w:val="007D408C"/>
    <w:rsid w:val="007D425C"/>
    <w:rsid w:val="007D46CD"/>
    <w:rsid w:val="007D4C5A"/>
    <w:rsid w:val="007D50FF"/>
    <w:rsid w:val="007D5184"/>
    <w:rsid w:val="007D566B"/>
    <w:rsid w:val="007D5694"/>
    <w:rsid w:val="007D5D9F"/>
    <w:rsid w:val="007D65EB"/>
    <w:rsid w:val="007D69C0"/>
    <w:rsid w:val="007D6AB2"/>
    <w:rsid w:val="007D717D"/>
    <w:rsid w:val="007D7C0A"/>
    <w:rsid w:val="007E030B"/>
    <w:rsid w:val="007E09DD"/>
    <w:rsid w:val="007E0ABB"/>
    <w:rsid w:val="007E0CD5"/>
    <w:rsid w:val="007E0FF8"/>
    <w:rsid w:val="007E1229"/>
    <w:rsid w:val="007E1778"/>
    <w:rsid w:val="007E1DE4"/>
    <w:rsid w:val="007E239B"/>
    <w:rsid w:val="007E26AE"/>
    <w:rsid w:val="007E2C69"/>
    <w:rsid w:val="007E39ED"/>
    <w:rsid w:val="007E3BA0"/>
    <w:rsid w:val="007E3E99"/>
    <w:rsid w:val="007E451B"/>
    <w:rsid w:val="007E4946"/>
    <w:rsid w:val="007E4AEC"/>
    <w:rsid w:val="007E4D95"/>
    <w:rsid w:val="007E4F1D"/>
    <w:rsid w:val="007E5409"/>
    <w:rsid w:val="007E57A6"/>
    <w:rsid w:val="007E5A5B"/>
    <w:rsid w:val="007E60F0"/>
    <w:rsid w:val="007E67D0"/>
    <w:rsid w:val="007E6B4A"/>
    <w:rsid w:val="007E6C59"/>
    <w:rsid w:val="007E6F56"/>
    <w:rsid w:val="007E706F"/>
    <w:rsid w:val="007E707F"/>
    <w:rsid w:val="007E7F22"/>
    <w:rsid w:val="007F007B"/>
    <w:rsid w:val="007F0641"/>
    <w:rsid w:val="007F0CA4"/>
    <w:rsid w:val="007F1151"/>
    <w:rsid w:val="007F122B"/>
    <w:rsid w:val="007F13B3"/>
    <w:rsid w:val="007F1411"/>
    <w:rsid w:val="007F165A"/>
    <w:rsid w:val="007F1DA0"/>
    <w:rsid w:val="007F23CB"/>
    <w:rsid w:val="007F264F"/>
    <w:rsid w:val="007F2DAE"/>
    <w:rsid w:val="007F2F49"/>
    <w:rsid w:val="007F2F54"/>
    <w:rsid w:val="007F2F65"/>
    <w:rsid w:val="007F3038"/>
    <w:rsid w:val="007F30B6"/>
    <w:rsid w:val="007F3270"/>
    <w:rsid w:val="007F32FE"/>
    <w:rsid w:val="007F37DF"/>
    <w:rsid w:val="007F3BED"/>
    <w:rsid w:val="007F4895"/>
    <w:rsid w:val="007F4A25"/>
    <w:rsid w:val="007F55E5"/>
    <w:rsid w:val="007F5819"/>
    <w:rsid w:val="007F58FB"/>
    <w:rsid w:val="007F59FD"/>
    <w:rsid w:val="007F5F6A"/>
    <w:rsid w:val="007F6642"/>
    <w:rsid w:val="007F6A19"/>
    <w:rsid w:val="007F6C1E"/>
    <w:rsid w:val="007F6D2F"/>
    <w:rsid w:val="007F7166"/>
    <w:rsid w:val="007F71E4"/>
    <w:rsid w:val="007F7507"/>
    <w:rsid w:val="007F7ACF"/>
    <w:rsid w:val="007F7C79"/>
    <w:rsid w:val="0080008D"/>
    <w:rsid w:val="00800214"/>
    <w:rsid w:val="008009F2"/>
    <w:rsid w:val="00800A28"/>
    <w:rsid w:val="00801748"/>
    <w:rsid w:val="008020DD"/>
    <w:rsid w:val="008035D0"/>
    <w:rsid w:val="00803FCE"/>
    <w:rsid w:val="00804AB1"/>
    <w:rsid w:val="00804E3F"/>
    <w:rsid w:val="00805060"/>
    <w:rsid w:val="00805483"/>
    <w:rsid w:val="008058B1"/>
    <w:rsid w:val="008063E1"/>
    <w:rsid w:val="00807044"/>
    <w:rsid w:val="008072E4"/>
    <w:rsid w:val="0081085D"/>
    <w:rsid w:val="00810A4B"/>
    <w:rsid w:val="00810CA6"/>
    <w:rsid w:val="00810D0B"/>
    <w:rsid w:val="00811086"/>
    <w:rsid w:val="008110A2"/>
    <w:rsid w:val="008113CC"/>
    <w:rsid w:val="00812846"/>
    <w:rsid w:val="008128B7"/>
    <w:rsid w:val="00812F87"/>
    <w:rsid w:val="00813605"/>
    <w:rsid w:val="0081382C"/>
    <w:rsid w:val="0081405E"/>
    <w:rsid w:val="00814250"/>
    <w:rsid w:val="008143A1"/>
    <w:rsid w:val="00814951"/>
    <w:rsid w:val="00814AF7"/>
    <w:rsid w:val="00814C77"/>
    <w:rsid w:val="00815028"/>
    <w:rsid w:val="00815111"/>
    <w:rsid w:val="00815F29"/>
    <w:rsid w:val="00816069"/>
    <w:rsid w:val="0081665D"/>
    <w:rsid w:val="00816E4D"/>
    <w:rsid w:val="00816EBE"/>
    <w:rsid w:val="00816F44"/>
    <w:rsid w:val="00816FCD"/>
    <w:rsid w:val="00817583"/>
    <w:rsid w:val="00817850"/>
    <w:rsid w:val="00820040"/>
    <w:rsid w:val="0082014E"/>
    <w:rsid w:val="00820A92"/>
    <w:rsid w:val="00821358"/>
    <w:rsid w:val="008218D0"/>
    <w:rsid w:val="00821AC0"/>
    <w:rsid w:val="00821DE8"/>
    <w:rsid w:val="008223B3"/>
    <w:rsid w:val="008224A7"/>
    <w:rsid w:val="00822B1E"/>
    <w:rsid w:val="0082342B"/>
    <w:rsid w:val="00823937"/>
    <w:rsid w:val="00823A8A"/>
    <w:rsid w:val="00823A9E"/>
    <w:rsid w:val="00823AFD"/>
    <w:rsid w:val="00823B4B"/>
    <w:rsid w:val="00823E8C"/>
    <w:rsid w:val="00823F36"/>
    <w:rsid w:val="008251CF"/>
    <w:rsid w:val="00825571"/>
    <w:rsid w:val="00825931"/>
    <w:rsid w:val="00825F94"/>
    <w:rsid w:val="0082600E"/>
    <w:rsid w:val="00826103"/>
    <w:rsid w:val="00826668"/>
    <w:rsid w:val="00826C8F"/>
    <w:rsid w:val="00826D96"/>
    <w:rsid w:val="00827000"/>
    <w:rsid w:val="008277CA"/>
    <w:rsid w:val="00827AD4"/>
    <w:rsid w:val="008301BB"/>
    <w:rsid w:val="00830DCF"/>
    <w:rsid w:val="00831077"/>
    <w:rsid w:val="0083166C"/>
    <w:rsid w:val="008316AC"/>
    <w:rsid w:val="0083176F"/>
    <w:rsid w:val="008319CF"/>
    <w:rsid w:val="00831A66"/>
    <w:rsid w:val="00831B3D"/>
    <w:rsid w:val="008324AA"/>
    <w:rsid w:val="00833007"/>
    <w:rsid w:val="008331AD"/>
    <w:rsid w:val="00833699"/>
    <w:rsid w:val="008339EF"/>
    <w:rsid w:val="00833FFC"/>
    <w:rsid w:val="00834497"/>
    <w:rsid w:val="008356BF"/>
    <w:rsid w:val="008362E5"/>
    <w:rsid w:val="00836844"/>
    <w:rsid w:val="00836AD9"/>
    <w:rsid w:val="00836AF6"/>
    <w:rsid w:val="00836E10"/>
    <w:rsid w:val="00836F42"/>
    <w:rsid w:val="008371B4"/>
    <w:rsid w:val="00837C97"/>
    <w:rsid w:val="00837F29"/>
    <w:rsid w:val="00840DCD"/>
    <w:rsid w:val="00840F14"/>
    <w:rsid w:val="008411F1"/>
    <w:rsid w:val="00841543"/>
    <w:rsid w:val="00841B12"/>
    <w:rsid w:val="00841D1A"/>
    <w:rsid w:val="0084204F"/>
    <w:rsid w:val="00842C36"/>
    <w:rsid w:val="00842F2E"/>
    <w:rsid w:val="00843668"/>
    <w:rsid w:val="00844B0D"/>
    <w:rsid w:val="00844CCA"/>
    <w:rsid w:val="00844F46"/>
    <w:rsid w:val="00845478"/>
    <w:rsid w:val="00845B48"/>
    <w:rsid w:val="0084665E"/>
    <w:rsid w:val="008467A9"/>
    <w:rsid w:val="00846D31"/>
    <w:rsid w:val="00846F8E"/>
    <w:rsid w:val="00847B8D"/>
    <w:rsid w:val="00847C53"/>
    <w:rsid w:val="00847EDD"/>
    <w:rsid w:val="00850145"/>
    <w:rsid w:val="00850321"/>
    <w:rsid w:val="0085038F"/>
    <w:rsid w:val="008507DF"/>
    <w:rsid w:val="00850808"/>
    <w:rsid w:val="00850858"/>
    <w:rsid w:val="00850966"/>
    <w:rsid w:val="00850AEC"/>
    <w:rsid w:val="00850B85"/>
    <w:rsid w:val="00850C28"/>
    <w:rsid w:val="00851B66"/>
    <w:rsid w:val="00851DF3"/>
    <w:rsid w:val="008521C8"/>
    <w:rsid w:val="00852265"/>
    <w:rsid w:val="00852288"/>
    <w:rsid w:val="00852A03"/>
    <w:rsid w:val="00852DED"/>
    <w:rsid w:val="00852E60"/>
    <w:rsid w:val="00853030"/>
    <w:rsid w:val="008539DB"/>
    <w:rsid w:val="00853F83"/>
    <w:rsid w:val="0085400D"/>
    <w:rsid w:val="00854062"/>
    <w:rsid w:val="00854789"/>
    <w:rsid w:val="00854BAA"/>
    <w:rsid w:val="00855089"/>
    <w:rsid w:val="0085575A"/>
    <w:rsid w:val="008559B5"/>
    <w:rsid w:val="00855A02"/>
    <w:rsid w:val="008563F0"/>
    <w:rsid w:val="00856B9B"/>
    <w:rsid w:val="00856F4B"/>
    <w:rsid w:val="008575C8"/>
    <w:rsid w:val="00857AAF"/>
    <w:rsid w:val="0086031E"/>
    <w:rsid w:val="0086070D"/>
    <w:rsid w:val="00860DB6"/>
    <w:rsid w:val="00861352"/>
    <w:rsid w:val="0086148E"/>
    <w:rsid w:val="00861921"/>
    <w:rsid w:val="00861B28"/>
    <w:rsid w:val="00861E04"/>
    <w:rsid w:val="008624C1"/>
    <w:rsid w:val="0086297B"/>
    <w:rsid w:val="0086397C"/>
    <w:rsid w:val="0086406C"/>
    <w:rsid w:val="008648DF"/>
    <w:rsid w:val="00864A0C"/>
    <w:rsid w:val="00864A8B"/>
    <w:rsid w:val="008658E9"/>
    <w:rsid w:val="00865CB3"/>
    <w:rsid w:val="008663E4"/>
    <w:rsid w:val="00866F6B"/>
    <w:rsid w:val="00866FB6"/>
    <w:rsid w:val="0086715E"/>
    <w:rsid w:val="00867227"/>
    <w:rsid w:val="00867330"/>
    <w:rsid w:val="008674A9"/>
    <w:rsid w:val="008677FB"/>
    <w:rsid w:val="008678FE"/>
    <w:rsid w:val="00867E22"/>
    <w:rsid w:val="00867ED8"/>
    <w:rsid w:val="0087023C"/>
    <w:rsid w:val="008702D2"/>
    <w:rsid w:val="0087096F"/>
    <w:rsid w:val="008714DD"/>
    <w:rsid w:val="00871A3D"/>
    <w:rsid w:val="00871B62"/>
    <w:rsid w:val="00871F3E"/>
    <w:rsid w:val="00872341"/>
    <w:rsid w:val="00872EFF"/>
    <w:rsid w:val="00873322"/>
    <w:rsid w:val="00873734"/>
    <w:rsid w:val="008737C9"/>
    <w:rsid w:val="00873CE6"/>
    <w:rsid w:val="00873E56"/>
    <w:rsid w:val="008740F3"/>
    <w:rsid w:val="00874E00"/>
    <w:rsid w:val="00875423"/>
    <w:rsid w:val="008755BA"/>
    <w:rsid w:val="00875D05"/>
    <w:rsid w:val="00875D4D"/>
    <w:rsid w:val="00876108"/>
    <w:rsid w:val="0087647F"/>
    <w:rsid w:val="008768D7"/>
    <w:rsid w:val="00876E82"/>
    <w:rsid w:val="00877340"/>
    <w:rsid w:val="008773A4"/>
    <w:rsid w:val="00877494"/>
    <w:rsid w:val="00877815"/>
    <w:rsid w:val="00880D1A"/>
    <w:rsid w:val="00880ECC"/>
    <w:rsid w:val="00881208"/>
    <w:rsid w:val="0088132F"/>
    <w:rsid w:val="00881413"/>
    <w:rsid w:val="00881861"/>
    <w:rsid w:val="00881C20"/>
    <w:rsid w:val="0088205C"/>
    <w:rsid w:val="00882304"/>
    <w:rsid w:val="00882495"/>
    <w:rsid w:val="00882775"/>
    <w:rsid w:val="00882854"/>
    <w:rsid w:val="008833EA"/>
    <w:rsid w:val="00883A45"/>
    <w:rsid w:val="00884075"/>
    <w:rsid w:val="008847F5"/>
    <w:rsid w:val="00884C9E"/>
    <w:rsid w:val="00884ED0"/>
    <w:rsid w:val="00884EE5"/>
    <w:rsid w:val="008852E2"/>
    <w:rsid w:val="00885BCA"/>
    <w:rsid w:val="00885C57"/>
    <w:rsid w:val="00885D57"/>
    <w:rsid w:val="00886202"/>
    <w:rsid w:val="008863D0"/>
    <w:rsid w:val="0088653A"/>
    <w:rsid w:val="00886559"/>
    <w:rsid w:val="008866B3"/>
    <w:rsid w:val="008866E3"/>
    <w:rsid w:val="00886728"/>
    <w:rsid w:val="00886744"/>
    <w:rsid w:val="00886AD4"/>
    <w:rsid w:val="00887326"/>
    <w:rsid w:val="008876CE"/>
    <w:rsid w:val="00887A92"/>
    <w:rsid w:val="00887CD8"/>
    <w:rsid w:val="00887DB2"/>
    <w:rsid w:val="008904D4"/>
    <w:rsid w:val="00890CB2"/>
    <w:rsid w:val="00890D3F"/>
    <w:rsid w:val="0089177C"/>
    <w:rsid w:val="00891EC9"/>
    <w:rsid w:val="0089200E"/>
    <w:rsid w:val="00892698"/>
    <w:rsid w:val="008928A7"/>
    <w:rsid w:val="00892DE1"/>
    <w:rsid w:val="00893220"/>
    <w:rsid w:val="0089322A"/>
    <w:rsid w:val="00893A9E"/>
    <w:rsid w:val="00893F4C"/>
    <w:rsid w:val="008942C0"/>
    <w:rsid w:val="008944F2"/>
    <w:rsid w:val="0089478B"/>
    <w:rsid w:val="00894AE1"/>
    <w:rsid w:val="00894E2D"/>
    <w:rsid w:val="00895126"/>
    <w:rsid w:val="00895C38"/>
    <w:rsid w:val="008962EF"/>
    <w:rsid w:val="00896944"/>
    <w:rsid w:val="00896FBA"/>
    <w:rsid w:val="008975DD"/>
    <w:rsid w:val="008A095E"/>
    <w:rsid w:val="008A0AC1"/>
    <w:rsid w:val="008A0B82"/>
    <w:rsid w:val="008A0D2B"/>
    <w:rsid w:val="008A0D58"/>
    <w:rsid w:val="008A10F4"/>
    <w:rsid w:val="008A1499"/>
    <w:rsid w:val="008A29DB"/>
    <w:rsid w:val="008A2E42"/>
    <w:rsid w:val="008A2EC4"/>
    <w:rsid w:val="008A3A44"/>
    <w:rsid w:val="008A4962"/>
    <w:rsid w:val="008A4A61"/>
    <w:rsid w:val="008A4C71"/>
    <w:rsid w:val="008A4FEF"/>
    <w:rsid w:val="008A526B"/>
    <w:rsid w:val="008A5607"/>
    <w:rsid w:val="008A5A7E"/>
    <w:rsid w:val="008A5F8E"/>
    <w:rsid w:val="008A6376"/>
    <w:rsid w:val="008A6840"/>
    <w:rsid w:val="008A68B9"/>
    <w:rsid w:val="008A6A61"/>
    <w:rsid w:val="008A6BFF"/>
    <w:rsid w:val="008A6ECC"/>
    <w:rsid w:val="008A6F4C"/>
    <w:rsid w:val="008A707A"/>
    <w:rsid w:val="008A7423"/>
    <w:rsid w:val="008A745F"/>
    <w:rsid w:val="008A74F3"/>
    <w:rsid w:val="008B017C"/>
    <w:rsid w:val="008B0203"/>
    <w:rsid w:val="008B047A"/>
    <w:rsid w:val="008B077B"/>
    <w:rsid w:val="008B0A9A"/>
    <w:rsid w:val="008B0AEC"/>
    <w:rsid w:val="008B0CDA"/>
    <w:rsid w:val="008B1A12"/>
    <w:rsid w:val="008B1BFB"/>
    <w:rsid w:val="008B1D76"/>
    <w:rsid w:val="008B2529"/>
    <w:rsid w:val="008B2A9D"/>
    <w:rsid w:val="008B30A9"/>
    <w:rsid w:val="008B3AED"/>
    <w:rsid w:val="008B43AD"/>
    <w:rsid w:val="008B43E1"/>
    <w:rsid w:val="008B4798"/>
    <w:rsid w:val="008B4956"/>
    <w:rsid w:val="008B4A57"/>
    <w:rsid w:val="008B5599"/>
    <w:rsid w:val="008B60AB"/>
    <w:rsid w:val="008B6884"/>
    <w:rsid w:val="008B697F"/>
    <w:rsid w:val="008B6C7E"/>
    <w:rsid w:val="008B6DDB"/>
    <w:rsid w:val="008B6E1B"/>
    <w:rsid w:val="008B71AB"/>
    <w:rsid w:val="008B73FA"/>
    <w:rsid w:val="008B74D9"/>
    <w:rsid w:val="008B7759"/>
    <w:rsid w:val="008B7C99"/>
    <w:rsid w:val="008B7D50"/>
    <w:rsid w:val="008C0129"/>
    <w:rsid w:val="008C08CD"/>
    <w:rsid w:val="008C091A"/>
    <w:rsid w:val="008C0B10"/>
    <w:rsid w:val="008C0B31"/>
    <w:rsid w:val="008C1098"/>
    <w:rsid w:val="008C1541"/>
    <w:rsid w:val="008C1BC5"/>
    <w:rsid w:val="008C1C2C"/>
    <w:rsid w:val="008C2345"/>
    <w:rsid w:val="008C2C69"/>
    <w:rsid w:val="008C2F3C"/>
    <w:rsid w:val="008C32E0"/>
    <w:rsid w:val="008C33ED"/>
    <w:rsid w:val="008C3844"/>
    <w:rsid w:val="008C388C"/>
    <w:rsid w:val="008C4146"/>
    <w:rsid w:val="008C4333"/>
    <w:rsid w:val="008C4A60"/>
    <w:rsid w:val="008C5A14"/>
    <w:rsid w:val="008C5B0F"/>
    <w:rsid w:val="008C5BC3"/>
    <w:rsid w:val="008C61A1"/>
    <w:rsid w:val="008C654A"/>
    <w:rsid w:val="008C6D6F"/>
    <w:rsid w:val="008C7786"/>
    <w:rsid w:val="008D0075"/>
    <w:rsid w:val="008D027C"/>
    <w:rsid w:val="008D03A7"/>
    <w:rsid w:val="008D0ADA"/>
    <w:rsid w:val="008D0F43"/>
    <w:rsid w:val="008D1266"/>
    <w:rsid w:val="008D1935"/>
    <w:rsid w:val="008D1F1F"/>
    <w:rsid w:val="008D1FDF"/>
    <w:rsid w:val="008D2F42"/>
    <w:rsid w:val="008D3378"/>
    <w:rsid w:val="008D3723"/>
    <w:rsid w:val="008D3ED7"/>
    <w:rsid w:val="008D41FA"/>
    <w:rsid w:val="008D44C7"/>
    <w:rsid w:val="008D49F8"/>
    <w:rsid w:val="008D4AB4"/>
    <w:rsid w:val="008D4D0A"/>
    <w:rsid w:val="008D5301"/>
    <w:rsid w:val="008D5342"/>
    <w:rsid w:val="008D53A4"/>
    <w:rsid w:val="008D53AD"/>
    <w:rsid w:val="008D6124"/>
    <w:rsid w:val="008D62DF"/>
    <w:rsid w:val="008D67C7"/>
    <w:rsid w:val="008D7183"/>
    <w:rsid w:val="008D7BFA"/>
    <w:rsid w:val="008D7C78"/>
    <w:rsid w:val="008D7F41"/>
    <w:rsid w:val="008E001E"/>
    <w:rsid w:val="008E0437"/>
    <w:rsid w:val="008E056A"/>
    <w:rsid w:val="008E06AE"/>
    <w:rsid w:val="008E0859"/>
    <w:rsid w:val="008E0F24"/>
    <w:rsid w:val="008E0FA2"/>
    <w:rsid w:val="008E2293"/>
    <w:rsid w:val="008E26EB"/>
    <w:rsid w:val="008E2751"/>
    <w:rsid w:val="008E27C5"/>
    <w:rsid w:val="008E27DB"/>
    <w:rsid w:val="008E2945"/>
    <w:rsid w:val="008E2962"/>
    <w:rsid w:val="008E29AA"/>
    <w:rsid w:val="008E31DB"/>
    <w:rsid w:val="008E3AFA"/>
    <w:rsid w:val="008E3BF4"/>
    <w:rsid w:val="008E3D65"/>
    <w:rsid w:val="008E4076"/>
    <w:rsid w:val="008E4422"/>
    <w:rsid w:val="008E45CB"/>
    <w:rsid w:val="008E483E"/>
    <w:rsid w:val="008E4A0E"/>
    <w:rsid w:val="008E4C42"/>
    <w:rsid w:val="008E56F9"/>
    <w:rsid w:val="008E5841"/>
    <w:rsid w:val="008E5B7F"/>
    <w:rsid w:val="008E602F"/>
    <w:rsid w:val="008E61DC"/>
    <w:rsid w:val="008E61F7"/>
    <w:rsid w:val="008E7073"/>
    <w:rsid w:val="008E70CC"/>
    <w:rsid w:val="008E74B9"/>
    <w:rsid w:val="008E78B7"/>
    <w:rsid w:val="008E78EA"/>
    <w:rsid w:val="008F0374"/>
    <w:rsid w:val="008F0529"/>
    <w:rsid w:val="008F07CD"/>
    <w:rsid w:val="008F0C42"/>
    <w:rsid w:val="008F0D86"/>
    <w:rsid w:val="008F0F03"/>
    <w:rsid w:val="008F1560"/>
    <w:rsid w:val="008F17FA"/>
    <w:rsid w:val="008F1CB5"/>
    <w:rsid w:val="008F1DDF"/>
    <w:rsid w:val="008F223F"/>
    <w:rsid w:val="008F276C"/>
    <w:rsid w:val="008F2850"/>
    <w:rsid w:val="008F297B"/>
    <w:rsid w:val="008F29E8"/>
    <w:rsid w:val="008F338F"/>
    <w:rsid w:val="008F3637"/>
    <w:rsid w:val="008F401F"/>
    <w:rsid w:val="008F48A6"/>
    <w:rsid w:val="008F4E06"/>
    <w:rsid w:val="008F4E18"/>
    <w:rsid w:val="008F4F63"/>
    <w:rsid w:val="008F5276"/>
    <w:rsid w:val="008F57EE"/>
    <w:rsid w:val="008F6B5F"/>
    <w:rsid w:val="008F6C42"/>
    <w:rsid w:val="008F703E"/>
    <w:rsid w:val="008F772F"/>
    <w:rsid w:val="008F7760"/>
    <w:rsid w:val="008F7BC4"/>
    <w:rsid w:val="008F7C00"/>
    <w:rsid w:val="0090006B"/>
    <w:rsid w:val="0090052E"/>
    <w:rsid w:val="00900E18"/>
    <w:rsid w:val="0090117E"/>
    <w:rsid w:val="00901D51"/>
    <w:rsid w:val="0090215A"/>
    <w:rsid w:val="009034C6"/>
    <w:rsid w:val="00903A28"/>
    <w:rsid w:val="00903AA8"/>
    <w:rsid w:val="00903C9C"/>
    <w:rsid w:val="00903D92"/>
    <w:rsid w:val="00903FB5"/>
    <w:rsid w:val="00904429"/>
    <w:rsid w:val="00904E82"/>
    <w:rsid w:val="00905092"/>
    <w:rsid w:val="00905B6B"/>
    <w:rsid w:val="009062BE"/>
    <w:rsid w:val="009063C3"/>
    <w:rsid w:val="00906671"/>
    <w:rsid w:val="00906944"/>
    <w:rsid w:val="0090694A"/>
    <w:rsid w:val="009076C6"/>
    <w:rsid w:val="009078FC"/>
    <w:rsid w:val="00910869"/>
    <w:rsid w:val="00910B20"/>
    <w:rsid w:val="00910B2B"/>
    <w:rsid w:val="00910C9F"/>
    <w:rsid w:val="009111EB"/>
    <w:rsid w:val="009117B2"/>
    <w:rsid w:val="00911A47"/>
    <w:rsid w:val="0091250A"/>
    <w:rsid w:val="00912B3F"/>
    <w:rsid w:val="00912D32"/>
    <w:rsid w:val="00912E91"/>
    <w:rsid w:val="009133EA"/>
    <w:rsid w:val="00913431"/>
    <w:rsid w:val="00913559"/>
    <w:rsid w:val="009135D6"/>
    <w:rsid w:val="00913AAD"/>
    <w:rsid w:val="00913B7E"/>
    <w:rsid w:val="009149DF"/>
    <w:rsid w:val="00914BC5"/>
    <w:rsid w:val="0091500A"/>
    <w:rsid w:val="0091501F"/>
    <w:rsid w:val="0091511B"/>
    <w:rsid w:val="0091553A"/>
    <w:rsid w:val="00916561"/>
    <w:rsid w:val="00916D28"/>
    <w:rsid w:val="00916E54"/>
    <w:rsid w:val="00917027"/>
    <w:rsid w:val="00917070"/>
    <w:rsid w:val="0091736E"/>
    <w:rsid w:val="009175A3"/>
    <w:rsid w:val="00917901"/>
    <w:rsid w:val="00917B02"/>
    <w:rsid w:val="00917C5C"/>
    <w:rsid w:val="00917D51"/>
    <w:rsid w:val="009202CF"/>
    <w:rsid w:val="0092033A"/>
    <w:rsid w:val="00920C04"/>
    <w:rsid w:val="00920CE7"/>
    <w:rsid w:val="009216AF"/>
    <w:rsid w:val="009219CB"/>
    <w:rsid w:val="00921F99"/>
    <w:rsid w:val="00921FB7"/>
    <w:rsid w:val="0092228F"/>
    <w:rsid w:val="00922816"/>
    <w:rsid w:val="0092293D"/>
    <w:rsid w:val="00922D14"/>
    <w:rsid w:val="00923488"/>
    <w:rsid w:val="00923B51"/>
    <w:rsid w:val="00923D5A"/>
    <w:rsid w:val="00923DA7"/>
    <w:rsid w:val="00923E0C"/>
    <w:rsid w:val="0092407F"/>
    <w:rsid w:val="00924290"/>
    <w:rsid w:val="0092491F"/>
    <w:rsid w:val="00924C57"/>
    <w:rsid w:val="00924CEA"/>
    <w:rsid w:val="00925023"/>
    <w:rsid w:val="0092515F"/>
    <w:rsid w:val="009252D3"/>
    <w:rsid w:val="0092571D"/>
    <w:rsid w:val="009259BA"/>
    <w:rsid w:val="00925C3E"/>
    <w:rsid w:val="00925E7F"/>
    <w:rsid w:val="00927449"/>
    <w:rsid w:val="009275DC"/>
    <w:rsid w:val="0092793E"/>
    <w:rsid w:val="00927EC3"/>
    <w:rsid w:val="00930034"/>
    <w:rsid w:val="00930332"/>
    <w:rsid w:val="009303B4"/>
    <w:rsid w:val="00930881"/>
    <w:rsid w:val="00930B3D"/>
    <w:rsid w:val="00931217"/>
    <w:rsid w:val="0093122F"/>
    <w:rsid w:val="009312F8"/>
    <w:rsid w:val="009314F1"/>
    <w:rsid w:val="00931D04"/>
    <w:rsid w:val="00931D3E"/>
    <w:rsid w:val="00931ECB"/>
    <w:rsid w:val="00931F7D"/>
    <w:rsid w:val="00932352"/>
    <w:rsid w:val="00932460"/>
    <w:rsid w:val="0093279B"/>
    <w:rsid w:val="00932901"/>
    <w:rsid w:val="00932DAC"/>
    <w:rsid w:val="009336AB"/>
    <w:rsid w:val="00933716"/>
    <w:rsid w:val="00933B20"/>
    <w:rsid w:val="009340E3"/>
    <w:rsid w:val="0093442A"/>
    <w:rsid w:val="009347C4"/>
    <w:rsid w:val="00935BDA"/>
    <w:rsid w:val="00936D12"/>
    <w:rsid w:val="00937E88"/>
    <w:rsid w:val="00937F7E"/>
    <w:rsid w:val="00941567"/>
    <w:rsid w:val="00941A96"/>
    <w:rsid w:val="00941ED0"/>
    <w:rsid w:val="00942149"/>
    <w:rsid w:val="009421A6"/>
    <w:rsid w:val="009421C4"/>
    <w:rsid w:val="009421FB"/>
    <w:rsid w:val="00942599"/>
    <w:rsid w:val="00942B44"/>
    <w:rsid w:val="0094317E"/>
    <w:rsid w:val="0094372F"/>
    <w:rsid w:val="00943DE6"/>
    <w:rsid w:val="00943FC2"/>
    <w:rsid w:val="00944641"/>
    <w:rsid w:val="00944AB5"/>
    <w:rsid w:val="0094568C"/>
    <w:rsid w:val="009458D3"/>
    <w:rsid w:val="00945B41"/>
    <w:rsid w:val="00946ADF"/>
    <w:rsid w:val="00947ED5"/>
    <w:rsid w:val="0095006D"/>
    <w:rsid w:val="00950312"/>
    <w:rsid w:val="00950626"/>
    <w:rsid w:val="009509E5"/>
    <w:rsid w:val="00950BA5"/>
    <w:rsid w:val="00950FA1"/>
    <w:rsid w:val="00951453"/>
    <w:rsid w:val="00951B50"/>
    <w:rsid w:val="00952134"/>
    <w:rsid w:val="0095237B"/>
    <w:rsid w:val="00952968"/>
    <w:rsid w:val="00952DC6"/>
    <w:rsid w:val="00953B52"/>
    <w:rsid w:val="00953F52"/>
    <w:rsid w:val="00954035"/>
    <w:rsid w:val="0095416F"/>
    <w:rsid w:val="0095449F"/>
    <w:rsid w:val="00954607"/>
    <w:rsid w:val="00954870"/>
    <w:rsid w:val="009551BD"/>
    <w:rsid w:val="0095538F"/>
    <w:rsid w:val="00955659"/>
    <w:rsid w:val="00955AF6"/>
    <w:rsid w:val="00955BFF"/>
    <w:rsid w:val="00955F22"/>
    <w:rsid w:val="009564A7"/>
    <w:rsid w:val="009568F0"/>
    <w:rsid w:val="00956A60"/>
    <w:rsid w:val="00956C79"/>
    <w:rsid w:val="00956C9C"/>
    <w:rsid w:val="009570DC"/>
    <w:rsid w:val="00957397"/>
    <w:rsid w:val="00957A0B"/>
    <w:rsid w:val="00957B19"/>
    <w:rsid w:val="00957B4D"/>
    <w:rsid w:val="00957EC3"/>
    <w:rsid w:val="00960175"/>
    <w:rsid w:val="00960545"/>
    <w:rsid w:val="0096070E"/>
    <w:rsid w:val="00960F3C"/>
    <w:rsid w:val="00961634"/>
    <w:rsid w:val="00961850"/>
    <w:rsid w:val="00961953"/>
    <w:rsid w:val="009619B1"/>
    <w:rsid w:val="00961C06"/>
    <w:rsid w:val="00961E5E"/>
    <w:rsid w:val="009621D7"/>
    <w:rsid w:val="00962437"/>
    <w:rsid w:val="0096265D"/>
    <w:rsid w:val="009626E3"/>
    <w:rsid w:val="009627BC"/>
    <w:rsid w:val="00962A25"/>
    <w:rsid w:val="00962B0A"/>
    <w:rsid w:val="0096300E"/>
    <w:rsid w:val="0096354A"/>
    <w:rsid w:val="0096375F"/>
    <w:rsid w:val="00963813"/>
    <w:rsid w:val="00963A8B"/>
    <w:rsid w:val="00963C87"/>
    <w:rsid w:val="00963EB5"/>
    <w:rsid w:val="009653D6"/>
    <w:rsid w:val="009654D5"/>
    <w:rsid w:val="0096575E"/>
    <w:rsid w:val="00966104"/>
    <w:rsid w:val="009661B5"/>
    <w:rsid w:val="009663E7"/>
    <w:rsid w:val="009663FB"/>
    <w:rsid w:val="009666A7"/>
    <w:rsid w:val="00966F22"/>
    <w:rsid w:val="009673A4"/>
    <w:rsid w:val="009673C7"/>
    <w:rsid w:val="0097048D"/>
    <w:rsid w:val="009705DC"/>
    <w:rsid w:val="00971D2B"/>
    <w:rsid w:val="00971EBE"/>
    <w:rsid w:val="009720BA"/>
    <w:rsid w:val="00972247"/>
    <w:rsid w:val="009722AD"/>
    <w:rsid w:val="00972718"/>
    <w:rsid w:val="0097292C"/>
    <w:rsid w:val="00972ACD"/>
    <w:rsid w:val="00973029"/>
    <w:rsid w:val="009735A4"/>
    <w:rsid w:val="009735AF"/>
    <w:rsid w:val="00973A2F"/>
    <w:rsid w:val="00973C43"/>
    <w:rsid w:val="00973E7F"/>
    <w:rsid w:val="00974626"/>
    <w:rsid w:val="00974A21"/>
    <w:rsid w:val="00974B8B"/>
    <w:rsid w:val="00974D15"/>
    <w:rsid w:val="009752DD"/>
    <w:rsid w:val="00976100"/>
    <w:rsid w:val="009765E6"/>
    <w:rsid w:val="009767D1"/>
    <w:rsid w:val="00976DCC"/>
    <w:rsid w:val="0097701A"/>
    <w:rsid w:val="00977319"/>
    <w:rsid w:val="0097753A"/>
    <w:rsid w:val="0097758E"/>
    <w:rsid w:val="00977987"/>
    <w:rsid w:val="00977BE7"/>
    <w:rsid w:val="00977DA8"/>
    <w:rsid w:val="00977E3C"/>
    <w:rsid w:val="0098068B"/>
    <w:rsid w:val="009807E9"/>
    <w:rsid w:val="00981A5A"/>
    <w:rsid w:val="00981ABE"/>
    <w:rsid w:val="00981FCE"/>
    <w:rsid w:val="009821C9"/>
    <w:rsid w:val="00982217"/>
    <w:rsid w:val="009825A8"/>
    <w:rsid w:val="00982625"/>
    <w:rsid w:val="0098264C"/>
    <w:rsid w:val="00982755"/>
    <w:rsid w:val="00982D1B"/>
    <w:rsid w:val="00983241"/>
    <w:rsid w:val="009833BD"/>
    <w:rsid w:val="009833D8"/>
    <w:rsid w:val="0098360C"/>
    <w:rsid w:val="009837B2"/>
    <w:rsid w:val="009838BF"/>
    <w:rsid w:val="00984757"/>
    <w:rsid w:val="0098483B"/>
    <w:rsid w:val="009849C2"/>
    <w:rsid w:val="00984A5F"/>
    <w:rsid w:val="00984ECC"/>
    <w:rsid w:val="00984ED7"/>
    <w:rsid w:val="00984FB1"/>
    <w:rsid w:val="00985327"/>
    <w:rsid w:val="009853DD"/>
    <w:rsid w:val="00985412"/>
    <w:rsid w:val="00985750"/>
    <w:rsid w:val="00985B25"/>
    <w:rsid w:val="00985BA1"/>
    <w:rsid w:val="00985D4E"/>
    <w:rsid w:val="00985D7C"/>
    <w:rsid w:val="0098606D"/>
    <w:rsid w:val="00987336"/>
    <w:rsid w:val="0099099C"/>
    <w:rsid w:val="00990D47"/>
    <w:rsid w:val="00991064"/>
    <w:rsid w:val="0099162B"/>
    <w:rsid w:val="00991698"/>
    <w:rsid w:val="00991919"/>
    <w:rsid w:val="00991A4B"/>
    <w:rsid w:val="00991E2D"/>
    <w:rsid w:val="00992333"/>
    <w:rsid w:val="009928A8"/>
    <w:rsid w:val="00993EB5"/>
    <w:rsid w:val="00994982"/>
    <w:rsid w:val="00994B49"/>
    <w:rsid w:val="00994D5B"/>
    <w:rsid w:val="00994DA0"/>
    <w:rsid w:val="00994EE7"/>
    <w:rsid w:val="0099583D"/>
    <w:rsid w:val="00996091"/>
    <w:rsid w:val="009964BB"/>
    <w:rsid w:val="00996772"/>
    <w:rsid w:val="00996796"/>
    <w:rsid w:val="0099685E"/>
    <w:rsid w:val="00996BD9"/>
    <w:rsid w:val="0099702B"/>
    <w:rsid w:val="00997543"/>
    <w:rsid w:val="009975B6"/>
    <w:rsid w:val="0099770C"/>
    <w:rsid w:val="009A0106"/>
    <w:rsid w:val="009A0230"/>
    <w:rsid w:val="009A049F"/>
    <w:rsid w:val="009A0875"/>
    <w:rsid w:val="009A12C3"/>
    <w:rsid w:val="009A135F"/>
    <w:rsid w:val="009A1471"/>
    <w:rsid w:val="009A16D2"/>
    <w:rsid w:val="009A1C51"/>
    <w:rsid w:val="009A1C94"/>
    <w:rsid w:val="009A2AA7"/>
    <w:rsid w:val="009A2F32"/>
    <w:rsid w:val="009A3432"/>
    <w:rsid w:val="009A3A58"/>
    <w:rsid w:val="009A43F3"/>
    <w:rsid w:val="009A44F4"/>
    <w:rsid w:val="009A46BF"/>
    <w:rsid w:val="009A485C"/>
    <w:rsid w:val="009A4FAE"/>
    <w:rsid w:val="009A56EF"/>
    <w:rsid w:val="009A5E72"/>
    <w:rsid w:val="009A64A5"/>
    <w:rsid w:val="009A707D"/>
    <w:rsid w:val="009A7505"/>
    <w:rsid w:val="009A7982"/>
    <w:rsid w:val="009A798A"/>
    <w:rsid w:val="009B072A"/>
    <w:rsid w:val="009B09C5"/>
    <w:rsid w:val="009B0A7F"/>
    <w:rsid w:val="009B0FEE"/>
    <w:rsid w:val="009B1989"/>
    <w:rsid w:val="009B1A66"/>
    <w:rsid w:val="009B1ABE"/>
    <w:rsid w:val="009B1F7A"/>
    <w:rsid w:val="009B207F"/>
    <w:rsid w:val="009B2C54"/>
    <w:rsid w:val="009B3C16"/>
    <w:rsid w:val="009B3C6E"/>
    <w:rsid w:val="009B4266"/>
    <w:rsid w:val="009B448E"/>
    <w:rsid w:val="009B479E"/>
    <w:rsid w:val="009B4CA5"/>
    <w:rsid w:val="009B4D61"/>
    <w:rsid w:val="009B4E42"/>
    <w:rsid w:val="009B5789"/>
    <w:rsid w:val="009B61AF"/>
    <w:rsid w:val="009B6849"/>
    <w:rsid w:val="009B6B51"/>
    <w:rsid w:val="009B770F"/>
    <w:rsid w:val="009B7E27"/>
    <w:rsid w:val="009B7E4A"/>
    <w:rsid w:val="009C02E6"/>
    <w:rsid w:val="009C03E8"/>
    <w:rsid w:val="009C0BBC"/>
    <w:rsid w:val="009C0D7C"/>
    <w:rsid w:val="009C15AC"/>
    <w:rsid w:val="009C1F54"/>
    <w:rsid w:val="009C21BA"/>
    <w:rsid w:val="009C21BF"/>
    <w:rsid w:val="009C234A"/>
    <w:rsid w:val="009C2436"/>
    <w:rsid w:val="009C2556"/>
    <w:rsid w:val="009C2911"/>
    <w:rsid w:val="009C2B41"/>
    <w:rsid w:val="009C2E5D"/>
    <w:rsid w:val="009C334A"/>
    <w:rsid w:val="009C34AF"/>
    <w:rsid w:val="009C36EC"/>
    <w:rsid w:val="009C39CA"/>
    <w:rsid w:val="009C39D7"/>
    <w:rsid w:val="009C3CE0"/>
    <w:rsid w:val="009C4D21"/>
    <w:rsid w:val="009C51A4"/>
    <w:rsid w:val="009C551F"/>
    <w:rsid w:val="009C5800"/>
    <w:rsid w:val="009C5C71"/>
    <w:rsid w:val="009C602B"/>
    <w:rsid w:val="009C62CC"/>
    <w:rsid w:val="009C64F6"/>
    <w:rsid w:val="009C66EC"/>
    <w:rsid w:val="009C6E5F"/>
    <w:rsid w:val="009C745B"/>
    <w:rsid w:val="009C793F"/>
    <w:rsid w:val="009C7A7F"/>
    <w:rsid w:val="009C7BF0"/>
    <w:rsid w:val="009C7D1A"/>
    <w:rsid w:val="009D034E"/>
    <w:rsid w:val="009D0485"/>
    <w:rsid w:val="009D0C34"/>
    <w:rsid w:val="009D139A"/>
    <w:rsid w:val="009D164B"/>
    <w:rsid w:val="009D16ED"/>
    <w:rsid w:val="009D171F"/>
    <w:rsid w:val="009D176B"/>
    <w:rsid w:val="009D1B23"/>
    <w:rsid w:val="009D2CD7"/>
    <w:rsid w:val="009D3135"/>
    <w:rsid w:val="009D3974"/>
    <w:rsid w:val="009D3B03"/>
    <w:rsid w:val="009D416D"/>
    <w:rsid w:val="009D4ABE"/>
    <w:rsid w:val="009D5495"/>
    <w:rsid w:val="009D570D"/>
    <w:rsid w:val="009D58C3"/>
    <w:rsid w:val="009D599A"/>
    <w:rsid w:val="009D5B5C"/>
    <w:rsid w:val="009D5D70"/>
    <w:rsid w:val="009D5E49"/>
    <w:rsid w:val="009D5F33"/>
    <w:rsid w:val="009D67BA"/>
    <w:rsid w:val="009D6E49"/>
    <w:rsid w:val="009D718D"/>
    <w:rsid w:val="009D7455"/>
    <w:rsid w:val="009D769A"/>
    <w:rsid w:val="009D7C2E"/>
    <w:rsid w:val="009D7F16"/>
    <w:rsid w:val="009E02F5"/>
    <w:rsid w:val="009E062B"/>
    <w:rsid w:val="009E064C"/>
    <w:rsid w:val="009E0A95"/>
    <w:rsid w:val="009E0C27"/>
    <w:rsid w:val="009E0D8B"/>
    <w:rsid w:val="009E11E8"/>
    <w:rsid w:val="009E13AC"/>
    <w:rsid w:val="009E13FE"/>
    <w:rsid w:val="009E2304"/>
    <w:rsid w:val="009E276E"/>
    <w:rsid w:val="009E2F8A"/>
    <w:rsid w:val="009E33F3"/>
    <w:rsid w:val="009E3BE9"/>
    <w:rsid w:val="009E3D4E"/>
    <w:rsid w:val="009E40AF"/>
    <w:rsid w:val="009E4292"/>
    <w:rsid w:val="009E44D8"/>
    <w:rsid w:val="009E4C9A"/>
    <w:rsid w:val="009E5177"/>
    <w:rsid w:val="009E5719"/>
    <w:rsid w:val="009E578C"/>
    <w:rsid w:val="009E6E5F"/>
    <w:rsid w:val="009E70E3"/>
    <w:rsid w:val="009E74F4"/>
    <w:rsid w:val="009E76CE"/>
    <w:rsid w:val="009E79C9"/>
    <w:rsid w:val="009E7BA0"/>
    <w:rsid w:val="009F000B"/>
    <w:rsid w:val="009F0A13"/>
    <w:rsid w:val="009F1806"/>
    <w:rsid w:val="009F21FF"/>
    <w:rsid w:val="009F28C3"/>
    <w:rsid w:val="009F28DC"/>
    <w:rsid w:val="009F2A07"/>
    <w:rsid w:val="009F3185"/>
    <w:rsid w:val="009F345D"/>
    <w:rsid w:val="009F37E1"/>
    <w:rsid w:val="009F3914"/>
    <w:rsid w:val="009F3A26"/>
    <w:rsid w:val="009F3BDF"/>
    <w:rsid w:val="009F42CC"/>
    <w:rsid w:val="009F4435"/>
    <w:rsid w:val="009F443F"/>
    <w:rsid w:val="009F4812"/>
    <w:rsid w:val="009F4863"/>
    <w:rsid w:val="009F490D"/>
    <w:rsid w:val="009F4B9F"/>
    <w:rsid w:val="009F516C"/>
    <w:rsid w:val="009F544F"/>
    <w:rsid w:val="009F55B9"/>
    <w:rsid w:val="009F58CC"/>
    <w:rsid w:val="009F58CE"/>
    <w:rsid w:val="009F5B80"/>
    <w:rsid w:val="009F65E2"/>
    <w:rsid w:val="009F6677"/>
    <w:rsid w:val="009F6CEB"/>
    <w:rsid w:val="009F7009"/>
    <w:rsid w:val="009F70A9"/>
    <w:rsid w:val="009F7B59"/>
    <w:rsid w:val="00A0009F"/>
    <w:rsid w:val="00A009DA"/>
    <w:rsid w:val="00A00DC9"/>
    <w:rsid w:val="00A00E9C"/>
    <w:rsid w:val="00A01053"/>
    <w:rsid w:val="00A015DC"/>
    <w:rsid w:val="00A020E2"/>
    <w:rsid w:val="00A024BE"/>
    <w:rsid w:val="00A0380C"/>
    <w:rsid w:val="00A03A87"/>
    <w:rsid w:val="00A044F3"/>
    <w:rsid w:val="00A04C02"/>
    <w:rsid w:val="00A05227"/>
    <w:rsid w:val="00A058E2"/>
    <w:rsid w:val="00A05973"/>
    <w:rsid w:val="00A05A0B"/>
    <w:rsid w:val="00A05AC4"/>
    <w:rsid w:val="00A062CA"/>
    <w:rsid w:val="00A06980"/>
    <w:rsid w:val="00A077FA"/>
    <w:rsid w:val="00A07E26"/>
    <w:rsid w:val="00A10933"/>
    <w:rsid w:val="00A10A68"/>
    <w:rsid w:val="00A10AC0"/>
    <w:rsid w:val="00A1137A"/>
    <w:rsid w:val="00A11782"/>
    <w:rsid w:val="00A11B16"/>
    <w:rsid w:val="00A11EA0"/>
    <w:rsid w:val="00A12F39"/>
    <w:rsid w:val="00A12F52"/>
    <w:rsid w:val="00A1338E"/>
    <w:rsid w:val="00A13664"/>
    <w:rsid w:val="00A143C7"/>
    <w:rsid w:val="00A146F8"/>
    <w:rsid w:val="00A14CA7"/>
    <w:rsid w:val="00A14FF8"/>
    <w:rsid w:val="00A154AE"/>
    <w:rsid w:val="00A155EF"/>
    <w:rsid w:val="00A158EA"/>
    <w:rsid w:val="00A15AEB"/>
    <w:rsid w:val="00A15D9F"/>
    <w:rsid w:val="00A16020"/>
    <w:rsid w:val="00A160F2"/>
    <w:rsid w:val="00A16164"/>
    <w:rsid w:val="00A162E9"/>
    <w:rsid w:val="00A16743"/>
    <w:rsid w:val="00A16C16"/>
    <w:rsid w:val="00A1710C"/>
    <w:rsid w:val="00A173A5"/>
    <w:rsid w:val="00A17A67"/>
    <w:rsid w:val="00A20023"/>
    <w:rsid w:val="00A20124"/>
    <w:rsid w:val="00A20578"/>
    <w:rsid w:val="00A213D5"/>
    <w:rsid w:val="00A21526"/>
    <w:rsid w:val="00A217D7"/>
    <w:rsid w:val="00A21A03"/>
    <w:rsid w:val="00A21A89"/>
    <w:rsid w:val="00A21CA6"/>
    <w:rsid w:val="00A22443"/>
    <w:rsid w:val="00A22755"/>
    <w:rsid w:val="00A228B1"/>
    <w:rsid w:val="00A22C8F"/>
    <w:rsid w:val="00A23748"/>
    <w:rsid w:val="00A23D88"/>
    <w:rsid w:val="00A23EE2"/>
    <w:rsid w:val="00A24023"/>
    <w:rsid w:val="00A2423A"/>
    <w:rsid w:val="00A246C5"/>
    <w:rsid w:val="00A24D25"/>
    <w:rsid w:val="00A24EC4"/>
    <w:rsid w:val="00A24F2D"/>
    <w:rsid w:val="00A24F40"/>
    <w:rsid w:val="00A25186"/>
    <w:rsid w:val="00A25296"/>
    <w:rsid w:val="00A256C8"/>
    <w:rsid w:val="00A258F4"/>
    <w:rsid w:val="00A25B96"/>
    <w:rsid w:val="00A26212"/>
    <w:rsid w:val="00A26661"/>
    <w:rsid w:val="00A266F7"/>
    <w:rsid w:val="00A26982"/>
    <w:rsid w:val="00A26EF6"/>
    <w:rsid w:val="00A27335"/>
    <w:rsid w:val="00A27AE9"/>
    <w:rsid w:val="00A27F00"/>
    <w:rsid w:val="00A30009"/>
    <w:rsid w:val="00A30013"/>
    <w:rsid w:val="00A31919"/>
    <w:rsid w:val="00A32800"/>
    <w:rsid w:val="00A32B7B"/>
    <w:rsid w:val="00A32D99"/>
    <w:rsid w:val="00A32F6B"/>
    <w:rsid w:val="00A33833"/>
    <w:rsid w:val="00A33D92"/>
    <w:rsid w:val="00A346C2"/>
    <w:rsid w:val="00A34F85"/>
    <w:rsid w:val="00A3563A"/>
    <w:rsid w:val="00A366A0"/>
    <w:rsid w:val="00A36745"/>
    <w:rsid w:val="00A3697B"/>
    <w:rsid w:val="00A36BCE"/>
    <w:rsid w:val="00A36C30"/>
    <w:rsid w:val="00A36E47"/>
    <w:rsid w:val="00A37419"/>
    <w:rsid w:val="00A37985"/>
    <w:rsid w:val="00A37DC2"/>
    <w:rsid w:val="00A401FB"/>
    <w:rsid w:val="00A40405"/>
    <w:rsid w:val="00A40833"/>
    <w:rsid w:val="00A40DB2"/>
    <w:rsid w:val="00A41014"/>
    <w:rsid w:val="00A41071"/>
    <w:rsid w:val="00A42490"/>
    <w:rsid w:val="00A42E09"/>
    <w:rsid w:val="00A42F0A"/>
    <w:rsid w:val="00A42FD2"/>
    <w:rsid w:val="00A43CC4"/>
    <w:rsid w:val="00A43D44"/>
    <w:rsid w:val="00A4406D"/>
    <w:rsid w:val="00A4424E"/>
    <w:rsid w:val="00A447E1"/>
    <w:rsid w:val="00A44908"/>
    <w:rsid w:val="00A44C9C"/>
    <w:rsid w:val="00A44F6E"/>
    <w:rsid w:val="00A45DB5"/>
    <w:rsid w:val="00A468C0"/>
    <w:rsid w:val="00A46F0B"/>
    <w:rsid w:val="00A46FAA"/>
    <w:rsid w:val="00A477E7"/>
    <w:rsid w:val="00A479DB"/>
    <w:rsid w:val="00A500AC"/>
    <w:rsid w:val="00A50731"/>
    <w:rsid w:val="00A50B80"/>
    <w:rsid w:val="00A50BF6"/>
    <w:rsid w:val="00A50E61"/>
    <w:rsid w:val="00A5125C"/>
    <w:rsid w:val="00A51947"/>
    <w:rsid w:val="00A519FB"/>
    <w:rsid w:val="00A52540"/>
    <w:rsid w:val="00A525B6"/>
    <w:rsid w:val="00A52F77"/>
    <w:rsid w:val="00A53324"/>
    <w:rsid w:val="00A533AF"/>
    <w:rsid w:val="00A53418"/>
    <w:rsid w:val="00A53988"/>
    <w:rsid w:val="00A53DA8"/>
    <w:rsid w:val="00A54245"/>
    <w:rsid w:val="00A54494"/>
    <w:rsid w:val="00A54701"/>
    <w:rsid w:val="00A5481C"/>
    <w:rsid w:val="00A54E1F"/>
    <w:rsid w:val="00A551CB"/>
    <w:rsid w:val="00A552FE"/>
    <w:rsid w:val="00A5604A"/>
    <w:rsid w:val="00A56114"/>
    <w:rsid w:val="00A57650"/>
    <w:rsid w:val="00A607B9"/>
    <w:rsid w:val="00A60806"/>
    <w:rsid w:val="00A6081A"/>
    <w:rsid w:val="00A61360"/>
    <w:rsid w:val="00A617A1"/>
    <w:rsid w:val="00A61FE2"/>
    <w:rsid w:val="00A6370E"/>
    <w:rsid w:val="00A63933"/>
    <w:rsid w:val="00A6401D"/>
    <w:rsid w:val="00A6402B"/>
    <w:rsid w:val="00A6412B"/>
    <w:rsid w:val="00A64A36"/>
    <w:rsid w:val="00A65009"/>
    <w:rsid w:val="00A6565E"/>
    <w:rsid w:val="00A663C5"/>
    <w:rsid w:val="00A66D54"/>
    <w:rsid w:val="00A67385"/>
    <w:rsid w:val="00A67B63"/>
    <w:rsid w:val="00A67D41"/>
    <w:rsid w:val="00A67E6E"/>
    <w:rsid w:val="00A67FB5"/>
    <w:rsid w:val="00A707D0"/>
    <w:rsid w:val="00A711BC"/>
    <w:rsid w:val="00A718B4"/>
    <w:rsid w:val="00A71BF6"/>
    <w:rsid w:val="00A72519"/>
    <w:rsid w:val="00A72706"/>
    <w:rsid w:val="00A728E4"/>
    <w:rsid w:val="00A72A6A"/>
    <w:rsid w:val="00A72A8F"/>
    <w:rsid w:val="00A72C92"/>
    <w:rsid w:val="00A73281"/>
    <w:rsid w:val="00A733F0"/>
    <w:rsid w:val="00A73671"/>
    <w:rsid w:val="00A73B21"/>
    <w:rsid w:val="00A74063"/>
    <w:rsid w:val="00A74565"/>
    <w:rsid w:val="00A74DA4"/>
    <w:rsid w:val="00A75602"/>
    <w:rsid w:val="00A759F1"/>
    <w:rsid w:val="00A75A8C"/>
    <w:rsid w:val="00A75DE3"/>
    <w:rsid w:val="00A75EEE"/>
    <w:rsid w:val="00A76726"/>
    <w:rsid w:val="00A770AF"/>
    <w:rsid w:val="00A775F0"/>
    <w:rsid w:val="00A80087"/>
    <w:rsid w:val="00A8044E"/>
    <w:rsid w:val="00A80914"/>
    <w:rsid w:val="00A80CA8"/>
    <w:rsid w:val="00A81674"/>
    <w:rsid w:val="00A81A50"/>
    <w:rsid w:val="00A81B28"/>
    <w:rsid w:val="00A81E8E"/>
    <w:rsid w:val="00A820CA"/>
    <w:rsid w:val="00A82491"/>
    <w:rsid w:val="00A8254E"/>
    <w:rsid w:val="00A82646"/>
    <w:rsid w:val="00A82B9E"/>
    <w:rsid w:val="00A8309B"/>
    <w:rsid w:val="00A831CB"/>
    <w:rsid w:val="00A840F7"/>
    <w:rsid w:val="00A842DF"/>
    <w:rsid w:val="00A84E2D"/>
    <w:rsid w:val="00A84F34"/>
    <w:rsid w:val="00A852CE"/>
    <w:rsid w:val="00A85340"/>
    <w:rsid w:val="00A8599D"/>
    <w:rsid w:val="00A85A51"/>
    <w:rsid w:val="00A86244"/>
    <w:rsid w:val="00A86397"/>
    <w:rsid w:val="00A86458"/>
    <w:rsid w:val="00A8686F"/>
    <w:rsid w:val="00A86A9D"/>
    <w:rsid w:val="00A86B20"/>
    <w:rsid w:val="00A86C5B"/>
    <w:rsid w:val="00A870D0"/>
    <w:rsid w:val="00A872D2"/>
    <w:rsid w:val="00A874D9"/>
    <w:rsid w:val="00A879A6"/>
    <w:rsid w:val="00A87D57"/>
    <w:rsid w:val="00A87FAA"/>
    <w:rsid w:val="00A90422"/>
    <w:rsid w:val="00A9065D"/>
    <w:rsid w:val="00A90E47"/>
    <w:rsid w:val="00A90E58"/>
    <w:rsid w:val="00A90EB0"/>
    <w:rsid w:val="00A90ED3"/>
    <w:rsid w:val="00A91320"/>
    <w:rsid w:val="00A91631"/>
    <w:rsid w:val="00A921BB"/>
    <w:rsid w:val="00A92211"/>
    <w:rsid w:val="00A937B7"/>
    <w:rsid w:val="00A93B68"/>
    <w:rsid w:val="00A93CCA"/>
    <w:rsid w:val="00A9440E"/>
    <w:rsid w:val="00A945E5"/>
    <w:rsid w:val="00A959D5"/>
    <w:rsid w:val="00A96689"/>
    <w:rsid w:val="00A9673E"/>
    <w:rsid w:val="00A96E39"/>
    <w:rsid w:val="00A96E6A"/>
    <w:rsid w:val="00A97A0B"/>
    <w:rsid w:val="00AA0157"/>
    <w:rsid w:val="00AA0229"/>
    <w:rsid w:val="00AA03C7"/>
    <w:rsid w:val="00AA086B"/>
    <w:rsid w:val="00AA0C2E"/>
    <w:rsid w:val="00AA0E49"/>
    <w:rsid w:val="00AA0F5C"/>
    <w:rsid w:val="00AA100E"/>
    <w:rsid w:val="00AA11CC"/>
    <w:rsid w:val="00AA1560"/>
    <w:rsid w:val="00AA188A"/>
    <w:rsid w:val="00AA1C1F"/>
    <w:rsid w:val="00AA1E8D"/>
    <w:rsid w:val="00AA1FB8"/>
    <w:rsid w:val="00AA202D"/>
    <w:rsid w:val="00AA2F71"/>
    <w:rsid w:val="00AA32B8"/>
    <w:rsid w:val="00AA37B7"/>
    <w:rsid w:val="00AA3B45"/>
    <w:rsid w:val="00AA3C6F"/>
    <w:rsid w:val="00AA3D14"/>
    <w:rsid w:val="00AA451C"/>
    <w:rsid w:val="00AA4903"/>
    <w:rsid w:val="00AA50E7"/>
    <w:rsid w:val="00AA5124"/>
    <w:rsid w:val="00AA56EE"/>
    <w:rsid w:val="00AA5C09"/>
    <w:rsid w:val="00AA60CE"/>
    <w:rsid w:val="00AA7012"/>
    <w:rsid w:val="00AA7320"/>
    <w:rsid w:val="00AA7798"/>
    <w:rsid w:val="00AB01D3"/>
    <w:rsid w:val="00AB0764"/>
    <w:rsid w:val="00AB1204"/>
    <w:rsid w:val="00AB13A0"/>
    <w:rsid w:val="00AB1865"/>
    <w:rsid w:val="00AB1EBE"/>
    <w:rsid w:val="00AB1ED5"/>
    <w:rsid w:val="00AB1FEF"/>
    <w:rsid w:val="00AB20DE"/>
    <w:rsid w:val="00AB2461"/>
    <w:rsid w:val="00AB2C74"/>
    <w:rsid w:val="00AB346D"/>
    <w:rsid w:val="00AB3D2E"/>
    <w:rsid w:val="00AB44BD"/>
    <w:rsid w:val="00AB4B81"/>
    <w:rsid w:val="00AB507B"/>
    <w:rsid w:val="00AB52B2"/>
    <w:rsid w:val="00AB592F"/>
    <w:rsid w:val="00AB5B58"/>
    <w:rsid w:val="00AB5BA7"/>
    <w:rsid w:val="00AB5E67"/>
    <w:rsid w:val="00AB5FE9"/>
    <w:rsid w:val="00AB5FF6"/>
    <w:rsid w:val="00AB615F"/>
    <w:rsid w:val="00AB633D"/>
    <w:rsid w:val="00AB6409"/>
    <w:rsid w:val="00AB643E"/>
    <w:rsid w:val="00AB666C"/>
    <w:rsid w:val="00AB69AA"/>
    <w:rsid w:val="00AB738D"/>
    <w:rsid w:val="00AB7BA2"/>
    <w:rsid w:val="00AB7BC7"/>
    <w:rsid w:val="00AB7E78"/>
    <w:rsid w:val="00AC0121"/>
    <w:rsid w:val="00AC01BC"/>
    <w:rsid w:val="00AC1506"/>
    <w:rsid w:val="00AC1600"/>
    <w:rsid w:val="00AC21E4"/>
    <w:rsid w:val="00AC24DC"/>
    <w:rsid w:val="00AC251C"/>
    <w:rsid w:val="00AC2639"/>
    <w:rsid w:val="00AC264F"/>
    <w:rsid w:val="00AC2EA5"/>
    <w:rsid w:val="00AC36D8"/>
    <w:rsid w:val="00AC3849"/>
    <w:rsid w:val="00AC39A5"/>
    <w:rsid w:val="00AC3C92"/>
    <w:rsid w:val="00AC3D3F"/>
    <w:rsid w:val="00AC45C7"/>
    <w:rsid w:val="00AC4841"/>
    <w:rsid w:val="00AC4AA9"/>
    <w:rsid w:val="00AC4AF5"/>
    <w:rsid w:val="00AC4B9A"/>
    <w:rsid w:val="00AC4BD7"/>
    <w:rsid w:val="00AC4FCD"/>
    <w:rsid w:val="00AC5874"/>
    <w:rsid w:val="00AC644D"/>
    <w:rsid w:val="00AC6899"/>
    <w:rsid w:val="00AC6B37"/>
    <w:rsid w:val="00AC6DE0"/>
    <w:rsid w:val="00AC6E57"/>
    <w:rsid w:val="00AC72E8"/>
    <w:rsid w:val="00AC770F"/>
    <w:rsid w:val="00AC7FAB"/>
    <w:rsid w:val="00AD0082"/>
    <w:rsid w:val="00AD067F"/>
    <w:rsid w:val="00AD0744"/>
    <w:rsid w:val="00AD0810"/>
    <w:rsid w:val="00AD0C8D"/>
    <w:rsid w:val="00AD0F27"/>
    <w:rsid w:val="00AD0F35"/>
    <w:rsid w:val="00AD1201"/>
    <w:rsid w:val="00AD123D"/>
    <w:rsid w:val="00AD1C48"/>
    <w:rsid w:val="00AD2383"/>
    <w:rsid w:val="00AD2397"/>
    <w:rsid w:val="00AD33D4"/>
    <w:rsid w:val="00AD3654"/>
    <w:rsid w:val="00AD37E5"/>
    <w:rsid w:val="00AD458F"/>
    <w:rsid w:val="00AD4719"/>
    <w:rsid w:val="00AD4A33"/>
    <w:rsid w:val="00AD4CB1"/>
    <w:rsid w:val="00AD4D6D"/>
    <w:rsid w:val="00AD543B"/>
    <w:rsid w:val="00AD56C2"/>
    <w:rsid w:val="00AD5782"/>
    <w:rsid w:val="00AD5A91"/>
    <w:rsid w:val="00AD5BB4"/>
    <w:rsid w:val="00AD5BDA"/>
    <w:rsid w:val="00AD6572"/>
    <w:rsid w:val="00AD695C"/>
    <w:rsid w:val="00AD6E9A"/>
    <w:rsid w:val="00AD6F7E"/>
    <w:rsid w:val="00AD7B47"/>
    <w:rsid w:val="00AE00A2"/>
    <w:rsid w:val="00AE01B4"/>
    <w:rsid w:val="00AE1D1C"/>
    <w:rsid w:val="00AE2F2F"/>
    <w:rsid w:val="00AE315C"/>
    <w:rsid w:val="00AE317C"/>
    <w:rsid w:val="00AE37AD"/>
    <w:rsid w:val="00AE3BB3"/>
    <w:rsid w:val="00AE440E"/>
    <w:rsid w:val="00AE49D5"/>
    <w:rsid w:val="00AE4C2A"/>
    <w:rsid w:val="00AE611B"/>
    <w:rsid w:val="00AE62F4"/>
    <w:rsid w:val="00AE6502"/>
    <w:rsid w:val="00AE6569"/>
    <w:rsid w:val="00AE65C5"/>
    <w:rsid w:val="00AE6F9D"/>
    <w:rsid w:val="00AE6FB2"/>
    <w:rsid w:val="00AF0AF4"/>
    <w:rsid w:val="00AF0F86"/>
    <w:rsid w:val="00AF1052"/>
    <w:rsid w:val="00AF19F3"/>
    <w:rsid w:val="00AF1B1C"/>
    <w:rsid w:val="00AF1F85"/>
    <w:rsid w:val="00AF231A"/>
    <w:rsid w:val="00AF2546"/>
    <w:rsid w:val="00AF2B4E"/>
    <w:rsid w:val="00AF2D6E"/>
    <w:rsid w:val="00AF35F4"/>
    <w:rsid w:val="00AF3DBB"/>
    <w:rsid w:val="00AF4004"/>
    <w:rsid w:val="00AF4618"/>
    <w:rsid w:val="00AF4AE7"/>
    <w:rsid w:val="00AF4F3E"/>
    <w:rsid w:val="00AF52B1"/>
    <w:rsid w:val="00AF54BA"/>
    <w:rsid w:val="00AF6229"/>
    <w:rsid w:val="00AF6318"/>
    <w:rsid w:val="00AF65D0"/>
    <w:rsid w:val="00AF6688"/>
    <w:rsid w:val="00AF6693"/>
    <w:rsid w:val="00AF685C"/>
    <w:rsid w:val="00AF70E9"/>
    <w:rsid w:val="00AF7173"/>
    <w:rsid w:val="00AF72E5"/>
    <w:rsid w:val="00AF73A2"/>
    <w:rsid w:val="00AF75E5"/>
    <w:rsid w:val="00AF7CC4"/>
    <w:rsid w:val="00AF7F04"/>
    <w:rsid w:val="00B0063E"/>
    <w:rsid w:val="00B007DB"/>
    <w:rsid w:val="00B00DF5"/>
    <w:rsid w:val="00B00F63"/>
    <w:rsid w:val="00B01C6B"/>
    <w:rsid w:val="00B022AF"/>
    <w:rsid w:val="00B02E73"/>
    <w:rsid w:val="00B033D0"/>
    <w:rsid w:val="00B03AE5"/>
    <w:rsid w:val="00B03E0B"/>
    <w:rsid w:val="00B045A9"/>
    <w:rsid w:val="00B045D6"/>
    <w:rsid w:val="00B054C6"/>
    <w:rsid w:val="00B0551C"/>
    <w:rsid w:val="00B05EEE"/>
    <w:rsid w:val="00B05F30"/>
    <w:rsid w:val="00B06394"/>
    <w:rsid w:val="00B06A1B"/>
    <w:rsid w:val="00B06CFB"/>
    <w:rsid w:val="00B0755C"/>
    <w:rsid w:val="00B076C5"/>
    <w:rsid w:val="00B07EAE"/>
    <w:rsid w:val="00B1064F"/>
    <w:rsid w:val="00B1077D"/>
    <w:rsid w:val="00B10811"/>
    <w:rsid w:val="00B10B7E"/>
    <w:rsid w:val="00B10B8F"/>
    <w:rsid w:val="00B11423"/>
    <w:rsid w:val="00B11841"/>
    <w:rsid w:val="00B11BD0"/>
    <w:rsid w:val="00B11EB2"/>
    <w:rsid w:val="00B120F9"/>
    <w:rsid w:val="00B12D75"/>
    <w:rsid w:val="00B13E18"/>
    <w:rsid w:val="00B13E3A"/>
    <w:rsid w:val="00B14537"/>
    <w:rsid w:val="00B1471D"/>
    <w:rsid w:val="00B1487F"/>
    <w:rsid w:val="00B15319"/>
    <w:rsid w:val="00B1620D"/>
    <w:rsid w:val="00B17327"/>
    <w:rsid w:val="00B201D3"/>
    <w:rsid w:val="00B203E6"/>
    <w:rsid w:val="00B2049A"/>
    <w:rsid w:val="00B204A5"/>
    <w:rsid w:val="00B20722"/>
    <w:rsid w:val="00B2083B"/>
    <w:rsid w:val="00B20F9F"/>
    <w:rsid w:val="00B210B8"/>
    <w:rsid w:val="00B21A3A"/>
    <w:rsid w:val="00B21B4C"/>
    <w:rsid w:val="00B21CD4"/>
    <w:rsid w:val="00B21F41"/>
    <w:rsid w:val="00B2217D"/>
    <w:rsid w:val="00B2225A"/>
    <w:rsid w:val="00B23003"/>
    <w:rsid w:val="00B23535"/>
    <w:rsid w:val="00B2381E"/>
    <w:rsid w:val="00B2395D"/>
    <w:rsid w:val="00B23FF2"/>
    <w:rsid w:val="00B24748"/>
    <w:rsid w:val="00B252E6"/>
    <w:rsid w:val="00B25D5E"/>
    <w:rsid w:val="00B26057"/>
    <w:rsid w:val="00B26076"/>
    <w:rsid w:val="00B2616C"/>
    <w:rsid w:val="00B26189"/>
    <w:rsid w:val="00B261A0"/>
    <w:rsid w:val="00B26275"/>
    <w:rsid w:val="00B26763"/>
    <w:rsid w:val="00B2756A"/>
    <w:rsid w:val="00B275C8"/>
    <w:rsid w:val="00B27640"/>
    <w:rsid w:val="00B27BC7"/>
    <w:rsid w:val="00B30207"/>
    <w:rsid w:val="00B304F3"/>
    <w:rsid w:val="00B3093D"/>
    <w:rsid w:val="00B30A97"/>
    <w:rsid w:val="00B30B61"/>
    <w:rsid w:val="00B30BE1"/>
    <w:rsid w:val="00B30DE5"/>
    <w:rsid w:val="00B30FA2"/>
    <w:rsid w:val="00B311F7"/>
    <w:rsid w:val="00B31327"/>
    <w:rsid w:val="00B31A53"/>
    <w:rsid w:val="00B32064"/>
    <w:rsid w:val="00B32148"/>
    <w:rsid w:val="00B32292"/>
    <w:rsid w:val="00B329E6"/>
    <w:rsid w:val="00B335A3"/>
    <w:rsid w:val="00B33B21"/>
    <w:rsid w:val="00B34982"/>
    <w:rsid w:val="00B354A7"/>
    <w:rsid w:val="00B354FB"/>
    <w:rsid w:val="00B35623"/>
    <w:rsid w:val="00B359C7"/>
    <w:rsid w:val="00B3605C"/>
    <w:rsid w:val="00B3710D"/>
    <w:rsid w:val="00B37175"/>
    <w:rsid w:val="00B3766D"/>
    <w:rsid w:val="00B37BF1"/>
    <w:rsid w:val="00B37FD3"/>
    <w:rsid w:val="00B4032C"/>
    <w:rsid w:val="00B40EC9"/>
    <w:rsid w:val="00B40FD8"/>
    <w:rsid w:val="00B41EBC"/>
    <w:rsid w:val="00B4230B"/>
    <w:rsid w:val="00B42371"/>
    <w:rsid w:val="00B4274D"/>
    <w:rsid w:val="00B435E7"/>
    <w:rsid w:val="00B4394B"/>
    <w:rsid w:val="00B43CB7"/>
    <w:rsid w:val="00B444E7"/>
    <w:rsid w:val="00B445A4"/>
    <w:rsid w:val="00B4474E"/>
    <w:rsid w:val="00B44835"/>
    <w:rsid w:val="00B4537E"/>
    <w:rsid w:val="00B456E1"/>
    <w:rsid w:val="00B459F6"/>
    <w:rsid w:val="00B45A0C"/>
    <w:rsid w:val="00B45B0C"/>
    <w:rsid w:val="00B45DB9"/>
    <w:rsid w:val="00B4629B"/>
    <w:rsid w:val="00B46A75"/>
    <w:rsid w:val="00B47047"/>
    <w:rsid w:val="00B47360"/>
    <w:rsid w:val="00B4749A"/>
    <w:rsid w:val="00B474DB"/>
    <w:rsid w:val="00B475B6"/>
    <w:rsid w:val="00B47610"/>
    <w:rsid w:val="00B47D6A"/>
    <w:rsid w:val="00B47FC4"/>
    <w:rsid w:val="00B501FD"/>
    <w:rsid w:val="00B5047C"/>
    <w:rsid w:val="00B50681"/>
    <w:rsid w:val="00B50AF5"/>
    <w:rsid w:val="00B50D09"/>
    <w:rsid w:val="00B50E45"/>
    <w:rsid w:val="00B50FE6"/>
    <w:rsid w:val="00B51371"/>
    <w:rsid w:val="00B5147F"/>
    <w:rsid w:val="00B51DF4"/>
    <w:rsid w:val="00B53789"/>
    <w:rsid w:val="00B539B4"/>
    <w:rsid w:val="00B542CF"/>
    <w:rsid w:val="00B54633"/>
    <w:rsid w:val="00B548D0"/>
    <w:rsid w:val="00B5492C"/>
    <w:rsid w:val="00B554CE"/>
    <w:rsid w:val="00B561F0"/>
    <w:rsid w:val="00B569C3"/>
    <w:rsid w:val="00B569E9"/>
    <w:rsid w:val="00B571C1"/>
    <w:rsid w:val="00B572FE"/>
    <w:rsid w:val="00B57421"/>
    <w:rsid w:val="00B5786B"/>
    <w:rsid w:val="00B57C32"/>
    <w:rsid w:val="00B605B9"/>
    <w:rsid w:val="00B60CC7"/>
    <w:rsid w:val="00B60F4A"/>
    <w:rsid w:val="00B61259"/>
    <w:rsid w:val="00B61400"/>
    <w:rsid w:val="00B616D7"/>
    <w:rsid w:val="00B6190D"/>
    <w:rsid w:val="00B61A9E"/>
    <w:rsid w:val="00B61BC9"/>
    <w:rsid w:val="00B62A28"/>
    <w:rsid w:val="00B62B31"/>
    <w:rsid w:val="00B62C29"/>
    <w:rsid w:val="00B62C35"/>
    <w:rsid w:val="00B639B6"/>
    <w:rsid w:val="00B63ED8"/>
    <w:rsid w:val="00B645A9"/>
    <w:rsid w:val="00B64C68"/>
    <w:rsid w:val="00B6508B"/>
    <w:rsid w:val="00B650EF"/>
    <w:rsid w:val="00B6552C"/>
    <w:rsid w:val="00B65661"/>
    <w:rsid w:val="00B6589C"/>
    <w:rsid w:val="00B65AEC"/>
    <w:rsid w:val="00B65D72"/>
    <w:rsid w:val="00B65F5E"/>
    <w:rsid w:val="00B66490"/>
    <w:rsid w:val="00B66BA5"/>
    <w:rsid w:val="00B67807"/>
    <w:rsid w:val="00B70774"/>
    <w:rsid w:val="00B70A98"/>
    <w:rsid w:val="00B70B3E"/>
    <w:rsid w:val="00B71D75"/>
    <w:rsid w:val="00B71FA0"/>
    <w:rsid w:val="00B7235D"/>
    <w:rsid w:val="00B728A0"/>
    <w:rsid w:val="00B73063"/>
    <w:rsid w:val="00B7315B"/>
    <w:rsid w:val="00B73643"/>
    <w:rsid w:val="00B73735"/>
    <w:rsid w:val="00B73FF2"/>
    <w:rsid w:val="00B7404E"/>
    <w:rsid w:val="00B7503C"/>
    <w:rsid w:val="00B75448"/>
    <w:rsid w:val="00B754A9"/>
    <w:rsid w:val="00B75DDB"/>
    <w:rsid w:val="00B75E04"/>
    <w:rsid w:val="00B761F0"/>
    <w:rsid w:val="00B76273"/>
    <w:rsid w:val="00B76E8A"/>
    <w:rsid w:val="00B77098"/>
    <w:rsid w:val="00B77939"/>
    <w:rsid w:val="00B77BF9"/>
    <w:rsid w:val="00B77F00"/>
    <w:rsid w:val="00B801A1"/>
    <w:rsid w:val="00B801E8"/>
    <w:rsid w:val="00B808CA"/>
    <w:rsid w:val="00B80B05"/>
    <w:rsid w:val="00B80C6F"/>
    <w:rsid w:val="00B80D0E"/>
    <w:rsid w:val="00B80F06"/>
    <w:rsid w:val="00B81340"/>
    <w:rsid w:val="00B813BB"/>
    <w:rsid w:val="00B818EB"/>
    <w:rsid w:val="00B81906"/>
    <w:rsid w:val="00B819EA"/>
    <w:rsid w:val="00B81CCA"/>
    <w:rsid w:val="00B81EC5"/>
    <w:rsid w:val="00B82678"/>
    <w:rsid w:val="00B8289F"/>
    <w:rsid w:val="00B836A3"/>
    <w:rsid w:val="00B837DC"/>
    <w:rsid w:val="00B843EB"/>
    <w:rsid w:val="00B844C0"/>
    <w:rsid w:val="00B84B3B"/>
    <w:rsid w:val="00B84B90"/>
    <w:rsid w:val="00B85DD9"/>
    <w:rsid w:val="00B86435"/>
    <w:rsid w:val="00B86715"/>
    <w:rsid w:val="00B86A34"/>
    <w:rsid w:val="00B870D0"/>
    <w:rsid w:val="00B878C2"/>
    <w:rsid w:val="00B90098"/>
    <w:rsid w:val="00B90334"/>
    <w:rsid w:val="00B90731"/>
    <w:rsid w:val="00B90F3E"/>
    <w:rsid w:val="00B92614"/>
    <w:rsid w:val="00B927A9"/>
    <w:rsid w:val="00B92C74"/>
    <w:rsid w:val="00B92DBE"/>
    <w:rsid w:val="00B930FA"/>
    <w:rsid w:val="00B931D2"/>
    <w:rsid w:val="00B935B5"/>
    <w:rsid w:val="00B93890"/>
    <w:rsid w:val="00B93B3C"/>
    <w:rsid w:val="00B9414A"/>
    <w:rsid w:val="00B942CD"/>
    <w:rsid w:val="00B94651"/>
    <w:rsid w:val="00B946D0"/>
    <w:rsid w:val="00B94A7D"/>
    <w:rsid w:val="00B94AEE"/>
    <w:rsid w:val="00B95A4A"/>
    <w:rsid w:val="00B95D11"/>
    <w:rsid w:val="00B966F9"/>
    <w:rsid w:val="00B96978"/>
    <w:rsid w:val="00B97246"/>
    <w:rsid w:val="00B977DB"/>
    <w:rsid w:val="00B97FF7"/>
    <w:rsid w:val="00BA06FB"/>
    <w:rsid w:val="00BA0836"/>
    <w:rsid w:val="00BA08B3"/>
    <w:rsid w:val="00BA0932"/>
    <w:rsid w:val="00BA095F"/>
    <w:rsid w:val="00BA0E58"/>
    <w:rsid w:val="00BA0F9B"/>
    <w:rsid w:val="00BA11AD"/>
    <w:rsid w:val="00BA132E"/>
    <w:rsid w:val="00BA17F5"/>
    <w:rsid w:val="00BA1BA6"/>
    <w:rsid w:val="00BA24BE"/>
    <w:rsid w:val="00BA26D9"/>
    <w:rsid w:val="00BA2B8E"/>
    <w:rsid w:val="00BA301F"/>
    <w:rsid w:val="00BA330D"/>
    <w:rsid w:val="00BA39CA"/>
    <w:rsid w:val="00BA3A5B"/>
    <w:rsid w:val="00BA3B1A"/>
    <w:rsid w:val="00BA3C08"/>
    <w:rsid w:val="00BA4D58"/>
    <w:rsid w:val="00BA51FA"/>
    <w:rsid w:val="00BA5263"/>
    <w:rsid w:val="00BA52A7"/>
    <w:rsid w:val="00BA54F8"/>
    <w:rsid w:val="00BA57FB"/>
    <w:rsid w:val="00BA5CA8"/>
    <w:rsid w:val="00BA692E"/>
    <w:rsid w:val="00BA6BAC"/>
    <w:rsid w:val="00BA6DC7"/>
    <w:rsid w:val="00BA7217"/>
    <w:rsid w:val="00BA73CD"/>
    <w:rsid w:val="00BA74FA"/>
    <w:rsid w:val="00BA7A2D"/>
    <w:rsid w:val="00BA7E36"/>
    <w:rsid w:val="00BB0417"/>
    <w:rsid w:val="00BB0B76"/>
    <w:rsid w:val="00BB0EF5"/>
    <w:rsid w:val="00BB1202"/>
    <w:rsid w:val="00BB1915"/>
    <w:rsid w:val="00BB19AB"/>
    <w:rsid w:val="00BB2073"/>
    <w:rsid w:val="00BB2196"/>
    <w:rsid w:val="00BB2909"/>
    <w:rsid w:val="00BB2A16"/>
    <w:rsid w:val="00BB2BE0"/>
    <w:rsid w:val="00BB2C29"/>
    <w:rsid w:val="00BB2D18"/>
    <w:rsid w:val="00BB2D75"/>
    <w:rsid w:val="00BB2F58"/>
    <w:rsid w:val="00BB2F7C"/>
    <w:rsid w:val="00BB2FE3"/>
    <w:rsid w:val="00BB33B7"/>
    <w:rsid w:val="00BB354E"/>
    <w:rsid w:val="00BB3A21"/>
    <w:rsid w:val="00BB49D7"/>
    <w:rsid w:val="00BB4E3B"/>
    <w:rsid w:val="00BB517A"/>
    <w:rsid w:val="00BB55F5"/>
    <w:rsid w:val="00BB5924"/>
    <w:rsid w:val="00BB5978"/>
    <w:rsid w:val="00BB5A84"/>
    <w:rsid w:val="00BB62E1"/>
    <w:rsid w:val="00BB6549"/>
    <w:rsid w:val="00BB6B4F"/>
    <w:rsid w:val="00BB6C4F"/>
    <w:rsid w:val="00BB6D58"/>
    <w:rsid w:val="00BB6EF6"/>
    <w:rsid w:val="00BC01B9"/>
    <w:rsid w:val="00BC04EA"/>
    <w:rsid w:val="00BC0DCB"/>
    <w:rsid w:val="00BC11A1"/>
    <w:rsid w:val="00BC24B8"/>
    <w:rsid w:val="00BC279C"/>
    <w:rsid w:val="00BC2831"/>
    <w:rsid w:val="00BC30DF"/>
    <w:rsid w:val="00BC34C0"/>
    <w:rsid w:val="00BC3625"/>
    <w:rsid w:val="00BC3BF7"/>
    <w:rsid w:val="00BC4210"/>
    <w:rsid w:val="00BC44D5"/>
    <w:rsid w:val="00BC46C6"/>
    <w:rsid w:val="00BC4811"/>
    <w:rsid w:val="00BC48EA"/>
    <w:rsid w:val="00BC492F"/>
    <w:rsid w:val="00BC4A2E"/>
    <w:rsid w:val="00BC50A6"/>
    <w:rsid w:val="00BC50CA"/>
    <w:rsid w:val="00BC58A9"/>
    <w:rsid w:val="00BC5A3C"/>
    <w:rsid w:val="00BC5C19"/>
    <w:rsid w:val="00BC5E5F"/>
    <w:rsid w:val="00BC655D"/>
    <w:rsid w:val="00BC678D"/>
    <w:rsid w:val="00BC697A"/>
    <w:rsid w:val="00BC6990"/>
    <w:rsid w:val="00BC69D8"/>
    <w:rsid w:val="00BC6C89"/>
    <w:rsid w:val="00BC6F93"/>
    <w:rsid w:val="00BC7248"/>
    <w:rsid w:val="00BC7356"/>
    <w:rsid w:val="00BC79CB"/>
    <w:rsid w:val="00BC7A77"/>
    <w:rsid w:val="00BD029F"/>
    <w:rsid w:val="00BD0BF7"/>
    <w:rsid w:val="00BD0C96"/>
    <w:rsid w:val="00BD0FE2"/>
    <w:rsid w:val="00BD1C5B"/>
    <w:rsid w:val="00BD202A"/>
    <w:rsid w:val="00BD232B"/>
    <w:rsid w:val="00BD2FF4"/>
    <w:rsid w:val="00BD3B25"/>
    <w:rsid w:val="00BD3FCD"/>
    <w:rsid w:val="00BD40BC"/>
    <w:rsid w:val="00BD41C1"/>
    <w:rsid w:val="00BD4A9C"/>
    <w:rsid w:val="00BD4CB4"/>
    <w:rsid w:val="00BD4D7B"/>
    <w:rsid w:val="00BD5430"/>
    <w:rsid w:val="00BD54E7"/>
    <w:rsid w:val="00BD56B6"/>
    <w:rsid w:val="00BD5855"/>
    <w:rsid w:val="00BD5968"/>
    <w:rsid w:val="00BD6408"/>
    <w:rsid w:val="00BD6585"/>
    <w:rsid w:val="00BD6D5A"/>
    <w:rsid w:val="00BD7007"/>
    <w:rsid w:val="00BD71DC"/>
    <w:rsid w:val="00BD73FB"/>
    <w:rsid w:val="00BD770E"/>
    <w:rsid w:val="00BD7AB2"/>
    <w:rsid w:val="00BD7B07"/>
    <w:rsid w:val="00BE0E6E"/>
    <w:rsid w:val="00BE1051"/>
    <w:rsid w:val="00BE1183"/>
    <w:rsid w:val="00BE13F9"/>
    <w:rsid w:val="00BE1836"/>
    <w:rsid w:val="00BE18ED"/>
    <w:rsid w:val="00BE1C37"/>
    <w:rsid w:val="00BE1D53"/>
    <w:rsid w:val="00BE1DD1"/>
    <w:rsid w:val="00BE1DD4"/>
    <w:rsid w:val="00BE1F62"/>
    <w:rsid w:val="00BE2746"/>
    <w:rsid w:val="00BE27D3"/>
    <w:rsid w:val="00BE2FB4"/>
    <w:rsid w:val="00BE31ED"/>
    <w:rsid w:val="00BE35B2"/>
    <w:rsid w:val="00BE3913"/>
    <w:rsid w:val="00BE4D4F"/>
    <w:rsid w:val="00BE546F"/>
    <w:rsid w:val="00BE56C3"/>
    <w:rsid w:val="00BE5FA5"/>
    <w:rsid w:val="00BE628A"/>
    <w:rsid w:val="00BE6777"/>
    <w:rsid w:val="00BE6C14"/>
    <w:rsid w:val="00BE6CF6"/>
    <w:rsid w:val="00BE6DB2"/>
    <w:rsid w:val="00BE6DB8"/>
    <w:rsid w:val="00BE6FA8"/>
    <w:rsid w:val="00BE7165"/>
    <w:rsid w:val="00BE749B"/>
    <w:rsid w:val="00BE7C94"/>
    <w:rsid w:val="00BF005B"/>
    <w:rsid w:val="00BF0B70"/>
    <w:rsid w:val="00BF1308"/>
    <w:rsid w:val="00BF1A44"/>
    <w:rsid w:val="00BF1F37"/>
    <w:rsid w:val="00BF20BE"/>
    <w:rsid w:val="00BF20CD"/>
    <w:rsid w:val="00BF230D"/>
    <w:rsid w:val="00BF25BD"/>
    <w:rsid w:val="00BF268E"/>
    <w:rsid w:val="00BF28C6"/>
    <w:rsid w:val="00BF3722"/>
    <w:rsid w:val="00BF3987"/>
    <w:rsid w:val="00BF4824"/>
    <w:rsid w:val="00BF535C"/>
    <w:rsid w:val="00BF5954"/>
    <w:rsid w:val="00BF59C7"/>
    <w:rsid w:val="00BF5B63"/>
    <w:rsid w:val="00BF62B1"/>
    <w:rsid w:val="00BF6637"/>
    <w:rsid w:val="00BF6A62"/>
    <w:rsid w:val="00BF7A61"/>
    <w:rsid w:val="00C0018F"/>
    <w:rsid w:val="00C001BA"/>
    <w:rsid w:val="00C00830"/>
    <w:rsid w:val="00C01152"/>
    <w:rsid w:val="00C01155"/>
    <w:rsid w:val="00C01B01"/>
    <w:rsid w:val="00C02802"/>
    <w:rsid w:val="00C02BB7"/>
    <w:rsid w:val="00C03328"/>
    <w:rsid w:val="00C03386"/>
    <w:rsid w:val="00C0387E"/>
    <w:rsid w:val="00C038C4"/>
    <w:rsid w:val="00C03C42"/>
    <w:rsid w:val="00C03F60"/>
    <w:rsid w:val="00C042F1"/>
    <w:rsid w:val="00C0486A"/>
    <w:rsid w:val="00C049C8"/>
    <w:rsid w:val="00C05201"/>
    <w:rsid w:val="00C0561E"/>
    <w:rsid w:val="00C057CC"/>
    <w:rsid w:val="00C05F8B"/>
    <w:rsid w:val="00C060A4"/>
    <w:rsid w:val="00C064A4"/>
    <w:rsid w:val="00C06546"/>
    <w:rsid w:val="00C06F54"/>
    <w:rsid w:val="00C07660"/>
    <w:rsid w:val="00C105CA"/>
    <w:rsid w:val="00C106F4"/>
    <w:rsid w:val="00C110C3"/>
    <w:rsid w:val="00C114C0"/>
    <w:rsid w:val="00C11500"/>
    <w:rsid w:val="00C11713"/>
    <w:rsid w:val="00C11E8C"/>
    <w:rsid w:val="00C11FC3"/>
    <w:rsid w:val="00C1283B"/>
    <w:rsid w:val="00C12990"/>
    <w:rsid w:val="00C135BD"/>
    <w:rsid w:val="00C13640"/>
    <w:rsid w:val="00C1369C"/>
    <w:rsid w:val="00C139AC"/>
    <w:rsid w:val="00C13BB9"/>
    <w:rsid w:val="00C13CEF"/>
    <w:rsid w:val="00C14121"/>
    <w:rsid w:val="00C1422B"/>
    <w:rsid w:val="00C14B5E"/>
    <w:rsid w:val="00C14D74"/>
    <w:rsid w:val="00C14E7E"/>
    <w:rsid w:val="00C153E0"/>
    <w:rsid w:val="00C15493"/>
    <w:rsid w:val="00C15C9C"/>
    <w:rsid w:val="00C15E54"/>
    <w:rsid w:val="00C16594"/>
    <w:rsid w:val="00C166DE"/>
    <w:rsid w:val="00C1692E"/>
    <w:rsid w:val="00C16A23"/>
    <w:rsid w:val="00C16B8B"/>
    <w:rsid w:val="00C1720E"/>
    <w:rsid w:val="00C17472"/>
    <w:rsid w:val="00C17E50"/>
    <w:rsid w:val="00C2015A"/>
    <w:rsid w:val="00C20344"/>
    <w:rsid w:val="00C204E2"/>
    <w:rsid w:val="00C20C10"/>
    <w:rsid w:val="00C20EC9"/>
    <w:rsid w:val="00C212C6"/>
    <w:rsid w:val="00C21B62"/>
    <w:rsid w:val="00C21E61"/>
    <w:rsid w:val="00C21EC0"/>
    <w:rsid w:val="00C21F9C"/>
    <w:rsid w:val="00C22139"/>
    <w:rsid w:val="00C2257B"/>
    <w:rsid w:val="00C2307B"/>
    <w:rsid w:val="00C2332E"/>
    <w:rsid w:val="00C23A03"/>
    <w:rsid w:val="00C23BDB"/>
    <w:rsid w:val="00C23DB2"/>
    <w:rsid w:val="00C24314"/>
    <w:rsid w:val="00C244C3"/>
    <w:rsid w:val="00C2459E"/>
    <w:rsid w:val="00C245D8"/>
    <w:rsid w:val="00C24627"/>
    <w:rsid w:val="00C248CC"/>
    <w:rsid w:val="00C2492A"/>
    <w:rsid w:val="00C24D5F"/>
    <w:rsid w:val="00C24F14"/>
    <w:rsid w:val="00C25026"/>
    <w:rsid w:val="00C25385"/>
    <w:rsid w:val="00C25954"/>
    <w:rsid w:val="00C25BEC"/>
    <w:rsid w:val="00C25D82"/>
    <w:rsid w:val="00C26360"/>
    <w:rsid w:val="00C2667C"/>
    <w:rsid w:val="00C26E49"/>
    <w:rsid w:val="00C27BD1"/>
    <w:rsid w:val="00C27CB0"/>
    <w:rsid w:val="00C27ECD"/>
    <w:rsid w:val="00C27F12"/>
    <w:rsid w:val="00C3013F"/>
    <w:rsid w:val="00C301C8"/>
    <w:rsid w:val="00C30548"/>
    <w:rsid w:val="00C30556"/>
    <w:rsid w:val="00C30647"/>
    <w:rsid w:val="00C30BBA"/>
    <w:rsid w:val="00C30DE9"/>
    <w:rsid w:val="00C30E11"/>
    <w:rsid w:val="00C310A6"/>
    <w:rsid w:val="00C31442"/>
    <w:rsid w:val="00C319BB"/>
    <w:rsid w:val="00C31BA7"/>
    <w:rsid w:val="00C31BD9"/>
    <w:rsid w:val="00C32014"/>
    <w:rsid w:val="00C322B4"/>
    <w:rsid w:val="00C3297C"/>
    <w:rsid w:val="00C33020"/>
    <w:rsid w:val="00C331DE"/>
    <w:rsid w:val="00C334FB"/>
    <w:rsid w:val="00C339D9"/>
    <w:rsid w:val="00C34A03"/>
    <w:rsid w:val="00C34B5F"/>
    <w:rsid w:val="00C357F9"/>
    <w:rsid w:val="00C35F85"/>
    <w:rsid w:val="00C36327"/>
    <w:rsid w:val="00C36640"/>
    <w:rsid w:val="00C366F5"/>
    <w:rsid w:val="00C36A4A"/>
    <w:rsid w:val="00C36C45"/>
    <w:rsid w:val="00C372AC"/>
    <w:rsid w:val="00C37358"/>
    <w:rsid w:val="00C376A5"/>
    <w:rsid w:val="00C37A23"/>
    <w:rsid w:val="00C37BF2"/>
    <w:rsid w:val="00C37E2E"/>
    <w:rsid w:val="00C400B2"/>
    <w:rsid w:val="00C4050F"/>
    <w:rsid w:val="00C4059B"/>
    <w:rsid w:val="00C408ED"/>
    <w:rsid w:val="00C41339"/>
    <w:rsid w:val="00C4186C"/>
    <w:rsid w:val="00C42A1B"/>
    <w:rsid w:val="00C42B23"/>
    <w:rsid w:val="00C431E5"/>
    <w:rsid w:val="00C43672"/>
    <w:rsid w:val="00C43DB3"/>
    <w:rsid w:val="00C4407E"/>
    <w:rsid w:val="00C44114"/>
    <w:rsid w:val="00C441DC"/>
    <w:rsid w:val="00C442F2"/>
    <w:rsid w:val="00C445CF"/>
    <w:rsid w:val="00C4498E"/>
    <w:rsid w:val="00C44DDC"/>
    <w:rsid w:val="00C453FC"/>
    <w:rsid w:val="00C45C0A"/>
    <w:rsid w:val="00C4630D"/>
    <w:rsid w:val="00C46C58"/>
    <w:rsid w:val="00C47113"/>
    <w:rsid w:val="00C47615"/>
    <w:rsid w:val="00C47785"/>
    <w:rsid w:val="00C478A4"/>
    <w:rsid w:val="00C47D9A"/>
    <w:rsid w:val="00C47FC2"/>
    <w:rsid w:val="00C50252"/>
    <w:rsid w:val="00C50414"/>
    <w:rsid w:val="00C50577"/>
    <w:rsid w:val="00C50891"/>
    <w:rsid w:val="00C50B5D"/>
    <w:rsid w:val="00C50FC9"/>
    <w:rsid w:val="00C5111D"/>
    <w:rsid w:val="00C513A1"/>
    <w:rsid w:val="00C51954"/>
    <w:rsid w:val="00C51BF5"/>
    <w:rsid w:val="00C52916"/>
    <w:rsid w:val="00C537CB"/>
    <w:rsid w:val="00C53D18"/>
    <w:rsid w:val="00C5476F"/>
    <w:rsid w:val="00C549F7"/>
    <w:rsid w:val="00C55BCE"/>
    <w:rsid w:val="00C55D77"/>
    <w:rsid w:val="00C55E68"/>
    <w:rsid w:val="00C56008"/>
    <w:rsid w:val="00C565DF"/>
    <w:rsid w:val="00C56688"/>
    <w:rsid w:val="00C5671C"/>
    <w:rsid w:val="00C569ED"/>
    <w:rsid w:val="00C56C1A"/>
    <w:rsid w:val="00C56D79"/>
    <w:rsid w:val="00C56F80"/>
    <w:rsid w:val="00C57249"/>
    <w:rsid w:val="00C572F5"/>
    <w:rsid w:val="00C5753A"/>
    <w:rsid w:val="00C57558"/>
    <w:rsid w:val="00C57A2E"/>
    <w:rsid w:val="00C57A55"/>
    <w:rsid w:val="00C57E0F"/>
    <w:rsid w:val="00C57FF5"/>
    <w:rsid w:val="00C6053D"/>
    <w:rsid w:val="00C60816"/>
    <w:rsid w:val="00C60B17"/>
    <w:rsid w:val="00C60CB3"/>
    <w:rsid w:val="00C61388"/>
    <w:rsid w:val="00C6162E"/>
    <w:rsid w:val="00C616B2"/>
    <w:rsid w:val="00C61758"/>
    <w:rsid w:val="00C61B4E"/>
    <w:rsid w:val="00C62B0D"/>
    <w:rsid w:val="00C63B38"/>
    <w:rsid w:val="00C63C08"/>
    <w:rsid w:val="00C63CC6"/>
    <w:rsid w:val="00C6439F"/>
    <w:rsid w:val="00C64C61"/>
    <w:rsid w:val="00C65562"/>
    <w:rsid w:val="00C655B0"/>
    <w:rsid w:val="00C65C26"/>
    <w:rsid w:val="00C65DA8"/>
    <w:rsid w:val="00C66104"/>
    <w:rsid w:val="00C66747"/>
    <w:rsid w:val="00C668D4"/>
    <w:rsid w:val="00C669DC"/>
    <w:rsid w:val="00C66BF5"/>
    <w:rsid w:val="00C66D9D"/>
    <w:rsid w:val="00C67281"/>
    <w:rsid w:val="00C67391"/>
    <w:rsid w:val="00C673AD"/>
    <w:rsid w:val="00C674B2"/>
    <w:rsid w:val="00C6759C"/>
    <w:rsid w:val="00C67AD5"/>
    <w:rsid w:val="00C703DB"/>
    <w:rsid w:val="00C7066B"/>
    <w:rsid w:val="00C70C52"/>
    <w:rsid w:val="00C70FEC"/>
    <w:rsid w:val="00C717C0"/>
    <w:rsid w:val="00C71868"/>
    <w:rsid w:val="00C7188C"/>
    <w:rsid w:val="00C71B29"/>
    <w:rsid w:val="00C71B80"/>
    <w:rsid w:val="00C71D5C"/>
    <w:rsid w:val="00C7215B"/>
    <w:rsid w:val="00C72FF6"/>
    <w:rsid w:val="00C73505"/>
    <w:rsid w:val="00C73A93"/>
    <w:rsid w:val="00C73B3B"/>
    <w:rsid w:val="00C73C43"/>
    <w:rsid w:val="00C73EBB"/>
    <w:rsid w:val="00C746D0"/>
    <w:rsid w:val="00C7496B"/>
    <w:rsid w:val="00C74B70"/>
    <w:rsid w:val="00C74D2F"/>
    <w:rsid w:val="00C76328"/>
    <w:rsid w:val="00C76397"/>
    <w:rsid w:val="00C77303"/>
    <w:rsid w:val="00C77712"/>
    <w:rsid w:val="00C779B2"/>
    <w:rsid w:val="00C80097"/>
    <w:rsid w:val="00C80251"/>
    <w:rsid w:val="00C80680"/>
    <w:rsid w:val="00C80B2A"/>
    <w:rsid w:val="00C817AF"/>
    <w:rsid w:val="00C817BE"/>
    <w:rsid w:val="00C82426"/>
    <w:rsid w:val="00C824A8"/>
    <w:rsid w:val="00C82867"/>
    <w:rsid w:val="00C82A61"/>
    <w:rsid w:val="00C82F86"/>
    <w:rsid w:val="00C83A80"/>
    <w:rsid w:val="00C84436"/>
    <w:rsid w:val="00C84439"/>
    <w:rsid w:val="00C84639"/>
    <w:rsid w:val="00C84E8A"/>
    <w:rsid w:val="00C84ECE"/>
    <w:rsid w:val="00C85203"/>
    <w:rsid w:val="00C85346"/>
    <w:rsid w:val="00C85493"/>
    <w:rsid w:val="00C85ADF"/>
    <w:rsid w:val="00C85E26"/>
    <w:rsid w:val="00C861B8"/>
    <w:rsid w:val="00C86584"/>
    <w:rsid w:val="00C8747A"/>
    <w:rsid w:val="00C902F6"/>
    <w:rsid w:val="00C9079E"/>
    <w:rsid w:val="00C90982"/>
    <w:rsid w:val="00C90A65"/>
    <w:rsid w:val="00C90CCF"/>
    <w:rsid w:val="00C9130F"/>
    <w:rsid w:val="00C919AF"/>
    <w:rsid w:val="00C91C22"/>
    <w:rsid w:val="00C91EBF"/>
    <w:rsid w:val="00C91F6C"/>
    <w:rsid w:val="00C923AF"/>
    <w:rsid w:val="00C925F3"/>
    <w:rsid w:val="00C92885"/>
    <w:rsid w:val="00C9324D"/>
    <w:rsid w:val="00C935DF"/>
    <w:rsid w:val="00C9397E"/>
    <w:rsid w:val="00C93E6D"/>
    <w:rsid w:val="00C93F0E"/>
    <w:rsid w:val="00C94117"/>
    <w:rsid w:val="00C9421F"/>
    <w:rsid w:val="00C94400"/>
    <w:rsid w:val="00C94682"/>
    <w:rsid w:val="00C94D56"/>
    <w:rsid w:val="00C952B0"/>
    <w:rsid w:val="00C95832"/>
    <w:rsid w:val="00C95F83"/>
    <w:rsid w:val="00C9628A"/>
    <w:rsid w:val="00C96B09"/>
    <w:rsid w:val="00C97239"/>
    <w:rsid w:val="00C97283"/>
    <w:rsid w:val="00CA0061"/>
    <w:rsid w:val="00CA0264"/>
    <w:rsid w:val="00CA02D0"/>
    <w:rsid w:val="00CA0310"/>
    <w:rsid w:val="00CA0CF4"/>
    <w:rsid w:val="00CA0FBC"/>
    <w:rsid w:val="00CA10A8"/>
    <w:rsid w:val="00CA1331"/>
    <w:rsid w:val="00CA1ABE"/>
    <w:rsid w:val="00CA1AE9"/>
    <w:rsid w:val="00CA2282"/>
    <w:rsid w:val="00CA2A02"/>
    <w:rsid w:val="00CA2FE5"/>
    <w:rsid w:val="00CA31D5"/>
    <w:rsid w:val="00CA37ED"/>
    <w:rsid w:val="00CA405B"/>
    <w:rsid w:val="00CA4B2C"/>
    <w:rsid w:val="00CA4EE5"/>
    <w:rsid w:val="00CA4F65"/>
    <w:rsid w:val="00CA5075"/>
    <w:rsid w:val="00CA5924"/>
    <w:rsid w:val="00CA5D22"/>
    <w:rsid w:val="00CA5E8D"/>
    <w:rsid w:val="00CA7654"/>
    <w:rsid w:val="00CA7694"/>
    <w:rsid w:val="00CA7E5A"/>
    <w:rsid w:val="00CA7E69"/>
    <w:rsid w:val="00CA7EF3"/>
    <w:rsid w:val="00CB0552"/>
    <w:rsid w:val="00CB12F9"/>
    <w:rsid w:val="00CB13A3"/>
    <w:rsid w:val="00CB1FE2"/>
    <w:rsid w:val="00CB218A"/>
    <w:rsid w:val="00CB3F59"/>
    <w:rsid w:val="00CB48D0"/>
    <w:rsid w:val="00CB498E"/>
    <w:rsid w:val="00CB51B2"/>
    <w:rsid w:val="00CB538D"/>
    <w:rsid w:val="00CB539F"/>
    <w:rsid w:val="00CB5A9E"/>
    <w:rsid w:val="00CB5EB8"/>
    <w:rsid w:val="00CB6663"/>
    <w:rsid w:val="00CB6E57"/>
    <w:rsid w:val="00CB746C"/>
    <w:rsid w:val="00CB79A9"/>
    <w:rsid w:val="00CB7C93"/>
    <w:rsid w:val="00CB7CCA"/>
    <w:rsid w:val="00CC1BEC"/>
    <w:rsid w:val="00CC244C"/>
    <w:rsid w:val="00CC2526"/>
    <w:rsid w:val="00CC26A7"/>
    <w:rsid w:val="00CC2BDD"/>
    <w:rsid w:val="00CC2D1F"/>
    <w:rsid w:val="00CC2F0F"/>
    <w:rsid w:val="00CC3193"/>
    <w:rsid w:val="00CC32AC"/>
    <w:rsid w:val="00CC3631"/>
    <w:rsid w:val="00CC3927"/>
    <w:rsid w:val="00CC3BF0"/>
    <w:rsid w:val="00CC3CD1"/>
    <w:rsid w:val="00CC44E8"/>
    <w:rsid w:val="00CC462B"/>
    <w:rsid w:val="00CC4869"/>
    <w:rsid w:val="00CC4A96"/>
    <w:rsid w:val="00CC4E84"/>
    <w:rsid w:val="00CC59B6"/>
    <w:rsid w:val="00CC59F4"/>
    <w:rsid w:val="00CC611B"/>
    <w:rsid w:val="00CC6304"/>
    <w:rsid w:val="00CC6602"/>
    <w:rsid w:val="00CC6EE7"/>
    <w:rsid w:val="00CC75F6"/>
    <w:rsid w:val="00CC76AE"/>
    <w:rsid w:val="00CD0516"/>
    <w:rsid w:val="00CD0ED2"/>
    <w:rsid w:val="00CD14D8"/>
    <w:rsid w:val="00CD19C6"/>
    <w:rsid w:val="00CD1B3E"/>
    <w:rsid w:val="00CD1CD7"/>
    <w:rsid w:val="00CD22B8"/>
    <w:rsid w:val="00CD28BA"/>
    <w:rsid w:val="00CD2BC9"/>
    <w:rsid w:val="00CD2E04"/>
    <w:rsid w:val="00CD34D6"/>
    <w:rsid w:val="00CD37A6"/>
    <w:rsid w:val="00CD3977"/>
    <w:rsid w:val="00CD397C"/>
    <w:rsid w:val="00CD3A00"/>
    <w:rsid w:val="00CD4146"/>
    <w:rsid w:val="00CD4425"/>
    <w:rsid w:val="00CD5742"/>
    <w:rsid w:val="00CD5A93"/>
    <w:rsid w:val="00CD5B00"/>
    <w:rsid w:val="00CD5F9E"/>
    <w:rsid w:val="00CD60D4"/>
    <w:rsid w:val="00CD63A4"/>
    <w:rsid w:val="00CD68C8"/>
    <w:rsid w:val="00CD68FE"/>
    <w:rsid w:val="00CD6EE8"/>
    <w:rsid w:val="00CD768D"/>
    <w:rsid w:val="00CD795C"/>
    <w:rsid w:val="00CD79B7"/>
    <w:rsid w:val="00CE0723"/>
    <w:rsid w:val="00CE0953"/>
    <w:rsid w:val="00CE0969"/>
    <w:rsid w:val="00CE14EA"/>
    <w:rsid w:val="00CE1F86"/>
    <w:rsid w:val="00CE21E4"/>
    <w:rsid w:val="00CE2839"/>
    <w:rsid w:val="00CE3419"/>
    <w:rsid w:val="00CE35F2"/>
    <w:rsid w:val="00CE3A2B"/>
    <w:rsid w:val="00CE3A54"/>
    <w:rsid w:val="00CE4106"/>
    <w:rsid w:val="00CE43A6"/>
    <w:rsid w:val="00CE43B6"/>
    <w:rsid w:val="00CE4BA6"/>
    <w:rsid w:val="00CE50C5"/>
    <w:rsid w:val="00CE53F2"/>
    <w:rsid w:val="00CE57D0"/>
    <w:rsid w:val="00CE59B0"/>
    <w:rsid w:val="00CE62F5"/>
    <w:rsid w:val="00CE6542"/>
    <w:rsid w:val="00CE65DD"/>
    <w:rsid w:val="00CE6690"/>
    <w:rsid w:val="00CE66A7"/>
    <w:rsid w:val="00CE6F65"/>
    <w:rsid w:val="00CE79B6"/>
    <w:rsid w:val="00CF0257"/>
    <w:rsid w:val="00CF10BF"/>
    <w:rsid w:val="00CF11CE"/>
    <w:rsid w:val="00CF1242"/>
    <w:rsid w:val="00CF1360"/>
    <w:rsid w:val="00CF1D44"/>
    <w:rsid w:val="00CF1E11"/>
    <w:rsid w:val="00CF23CC"/>
    <w:rsid w:val="00CF2667"/>
    <w:rsid w:val="00CF2CCA"/>
    <w:rsid w:val="00CF2EC1"/>
    <w:rsid w:val="00CF324E"/>
    <w:rsid w:val="00CF38DF"/>
    <w:rsid w:val="00CF38E8"/>
    <w:rsid w:val="00CF3D90"/>
    <w:rsid w:val="00CF45E5"/>
    <w:rsid w:val="00CF4AB7"/>
    <w:rsid w:val="00CF510C"/>
    <w:rsid w:val="00CF5146"/>
    <w:rsid w:val="00CF52A7"/>
    <w:rsid w:val="00CF54AF"/>
    <w:rsid w:val="00CF57FA"/>
    <w:rsid w:val="00CF584D"/>
    <w:rsid w:val="00CF5E3D"/>
    <w:rsid w:val="00CF5F93"/>
    <w:rsid w:val="00CF5FF9"/>
    <w:rsid w:val="00CF61EF"/>
    <w:rsid w:val="00CF64C6"/>
    <w:rsid w:val="00CF7041"/>
    <w:rsid w:val="00CF709E"/>
    <w:rsid w:val="00CF70D7"/>
    <w:rsid w:val="00CF7252"/>
    <w:rsid w:val="00CF726B"/>
    <w:rsid w:val="00CF7B4B"/>
    <w:rsid w:val="00CF7CA4"/>
    <w:rsid w:val="00D00594"/>
    <w:rsid w:val="00D018D2"/>
    <w:rsid w:val="00D01AFF"/>
    <w:rsid w:val="00D01BA5"/>
    <w:rsid w:val="00D01DEC"/>
    <w:rsid w:val="00D02374"/>
    <w:rsid w:val="00D02C32"/>
    <w:rsid w:val="00D0340A"/>
    <w:rsid w:val="00D03CC5"/>
    <w:rsid w:val="00D0471F"/>
    <w:rsid w:val="00D04A8B"/>
    <w:rsid w:val="00D05168"/>
    <w:rsid w:val="00D05209"/>
    <w:rsid w:val="00D058E3"/>
    <w:rsid w:val="00D06131"/>
    <w:rsid w:val="00D07102"/>
    <w:rsid w:val="00D075FD"/>
    <w:rsid w:val="00D0790C"/>
    <w:rsid w:val="00D07955"/>
    <w:rsid w:val="00D10C0C"/>
    <w:rsid w:val="00D10D4F"/>
    <w:rsid w:val="00D1104A"/>
    <w:rsid w:val="00D111BA"/>
    <w:rsid w:val="00D114AE"/>
    <w:rsid w:val="00D11ADD"/>
    <w:rsid w:val="00D12D79"/>
    <w:rsid w:val="00D12DCC"/>
    <w:rsid w:val="00D139CB"/>
    <w:rsid w:val="00D14033"/>
    <w:rsid w:val="00D14352"/>
    <w:rsid w:val="00D14420"/>
    <w:rsid w:val="00D14545"/>
    <w:rsid w:val="00D145A4"/>
    <w:rsid w:val="00D1485B"/>
    <w:rsid w:val="00D148AA"/>
    <w:rsid w:val="00D148B9"/>
    <w:rsid w:val="00D14917"/>
    <w:rsid w:val="00D14B76"/>
    <w:rsid w:val="00D1570B"/>
    <w:rsid w:val="00D15833"/>
    <w:rsid w:val="00D15956"/>
    <w:rsid w:val="00D15B49"/>
    <w:rsid w:val="00D15DB4"/>
    <w:rsid w:val="00D17421"/>
    <w:rsid w:val="00D20246"/>
    <w:rsid w:val="00D2034E"/>
    <w:rsid w:val="00D204E0"/>
    <w:rsid w:val="00D20516"/>
    <w:rsid w:val="00D207DB"/>
    <w:rsid w:val="00D20A4A"/>
    <w:rsid w:val="00D21D4C"/>
    <w:rsid w:val="00D22202"/>
    <w:rsid w:val="00D226C3"/>
    <w:rsid w:val="00D236C4"/>
    <w:rsid w:val="00D23B09"/>
    <w:rsid w:val="00D23E26"/>
    <w:rsid w:val="00D23F4B"/>
    <w:rsid w:val="00D243C3"/>
    <w:rsid w:val="00D247AC"/>
    <w:rsid w:val="00D24D80"/>
    <w:rsid w:val="00D256CC"/>
    <w:rsid w:val="00D25871"/>
    <w:rsid w:val="00D27CA3"/>
    <w:rsid w:val="00D27DE5"/>
    <w:rsid w:val="00D30951"/>
    <w:rsid w:val="00D30C20"/>
    <w:rsid w:val="00D30E14"/>
    <w:rsid w:val="00D312AD"/>
    <w:rsid w:val="00D31327"/>
    <w:rsid w:val="00D318FE"/>
    <w:rsid w:val="00D319A6"/>
    <w:rsid w:val="00D31AD7"/>
    <w:rsid w:val="00D31B95"/>
    <w:rsid w:val="00D31E2E"/>
    <w:rsid w:val="00D31F49"/>
    <w:rsid w:val="00D32140"/>
    <w:rsid w:val="00D32C91"/>
    <w:rsid w:val="00D32D30"/>
    <w:rsid w:val="00D33402"/>
    <w:rsid w:val="00D335AD"/>
    <w:rsid w:val="00D341E4"/>
    <w:rsid w:val="00D345E2"/>
    <w:rsid w:val="00D34697"/>
    <w:rsid w:val="00D34844"/>
    <w:rsid w:val="00D34964"/>
    <w:rsid w:val="00D34BB0"/>
    <w:rsid w:val="00D34C29"/>
    <w:rsid w:val="00D350A2"/>
    <w:rsid w:val="00D35B9B"/>
    <w:rsid w:val="00D361F5"/>
    <w:rsid w:val="00D363DE"/>
    <w:rsid w:val="00D36792"/>
    <w:rsid w:val="00D36AB5"/>
    <w:rsid w:val="00D36B1C"/>
    <w:rsid w:val="00D36F36"/>
    <w:rsid w:val="00D3730C"/>
    <w:rsid w:val="00D37FBB"/>
    <w:rsid w:val="00D401E0"/>
    <w:rsid w:val="00D4080E"/>
    <w:rsid w:val="00D40B20"/>
    <w:rsid w:val="00D41E81"/>
    <w:rsid w:val="00D41EF7"/>
    <w:rsid w:val="00D4253F"/>
    <w:rsid w:val="00D427E7"/>
    <w:rsid w:val="00D428D4"/>
    <w:rsid w:val="00D43428"/>
    <w:rsid w:val="00D43598"/>
    <w:rsid w:val="00D4387D"/>
    <w:rsid w:val="00D43A68"/>
    <w:rsid w:val="00D44087"/>
    <w:rsid w:val="00D44214"/>
    <w:rsid w:val="00D448F6"/>
    <w:rsid w:val="00D4589F"/>
    <w:rsid w:val="00D45C1F"/>
    <w:rsid w:val="00D4632B"/>
    <w:rsid w:val="00D467CA"/>
    <w:rsid w:val="00D46929"/>
    <w:rsid w:val="00D46C67"/>
    <w:rsid w:val="00D47658"/>
    <w:rsid w:val="00D477AD"/>
    <w:rsid w:val="00D508E3"/>
    <w:rsid w:val="00D50BEC"/>
    <w:rsid w:val="00D50D52"/>
    <w:rsid w:val="00D50FA5"/>
    <w:rsid w:val="00D51106"/>
    <w:rsid w:val="00D51642"/>
    <w:rsid w:val="00D5190D"/>
    <w:rsid w:val="00D51954"/>
    <w:rsid w:val="00D51D4A"/>
    <w:rsid w:val="00D52B65"/>
    <w:rsid w:val="00D52C33"/>
    <w:rsid w:val="00D52E47"/>
    <w:rsid w:val="00D53B2A"/>
    <w:rsid w:val="00D542AD"/>
    <w:rsid w:val="00D5481B"/>
    <w:rsid w:val="00D54885"/>
    <w:rsid w:val="00D55029"/>
    <w:rsid w:val="00D550B4"/>
    <w:rsid w:val="00D551CA"/>
    <w:rsid w:val="00D55CE6"/>
    <w:rsid w:val="00D55DB8"/>
    <w:rsid w:val="00D5619D"/>
    <w:rsid w:val="00D5630B"/>
    <w:rsid w:val="00D564B9"/>
    <w:rsid w:val="00D56D5F"/>
    <w:rsid w:val="00D56F6E"/>
    <w:rsid w:val="00D56FA6"/>
    <w:rsid w:val="00D57159"/>
    <w:rsid w:val="00D57C10"/>
    <w:rsid w:val="00D57E1A"/>
    <w:rsid w:val="00D604C9"/>
    <w:rsid w:val="00D608AD"/>
    <w:rsid w:val="00D60953"/>
    <w:rsid w:val="00D60B01"/>
    <w:rsid w:val="00D60F60"/>
    <w:rsid w:val="00D611D7"/>
    <w:rsid w:val="00D61227"/>
    <w:rsid w:val="00D6156B"/>
    <w:rsid w:val="00D61822"/>
    <w:rsid w:val="00D6197C"/>
    <w:rsid w:val="00D61A22"/>
    <w:rsid w:val="00D61AD1"/>
    <w:rsid w:val="00D61F94"/>
    <w:rsid w:val="00D620E4"/>
    <w:rsid w:val="00D62A45"/>
    <w:rsid w:val="00D63046"/>
    <w:rsid w:val="00D64217"/>
    <w:rsid w:val="00D64262"/>
    <w:rsid w:val="00D6426E"/>
    <w:rsid w:val="00D6473B"/>
    <w:rsid w:val="00D64A8A"/>
    <w:rsid w:val="00D64AB4"/>
    <w:rsid w:val="00D64F69"/>
    <w:rsid w:val="00D64F7B"/>
    <w:rsid w:val="00D64F85"/>
    <w:rsid w:val="00D652DD"/>
    <w:rsid w:val="00D654C0"/>
    <w:rsid w:val="00D65756"/>
    <w:rsid w:val="00D65D4B"/>
    <w:rsid w:val="00D65E22"/>
    <w:rsid w:val="00D66675"/>
    <w:rsid w:val="00D66BD4"/>
    <w:rsid w:val="00D66C67"/>
    <w:rsid w:val="00D66D34"/>
    <w:rsid w:val="00D66DC3"/>
    <w:rsid w:val="00D66EE3"/>
    <w:rsid w:val="00D673A2"/>
    <w:rsid w:val="00D67573"/>
    <w:rsid w:val="00D675C0"/>
    <w:rsid w:val="00D677D8"/>
    <w:rsid w:val="00D67B03"/>
    <w:rsid w:val="00D67FDE"/>
    <w:rsid w:val="00D70005"/>
    <w:rsid w:val="00D70137"/>
    <w:rsid w:val="00D70568"/>
    <w:rsid w:val="00D709CE"/>
    <w:rsid w:val="00D70DFE"/>
    <w:rsid w:val="00D7103F"/>
    <w:rsid w:val="00D7122E"/>
    <w:rsid w:val="00D71567"/>
    <w:rsid w:val="00D71B4C"/>
    <w:rsid w:val="00D71F73"/>
    <w:rsid w:val="00D7279C"/>
    <w:rsid w:val="00D72C31"/>
    <w:rsid w:val="00D72DBD"/>
    <w:rsid w:val="00D73075"/>
    <w:rsid w:val="00D74289"/>
    <w:rsid w:val="00D74698"/>
    <w:rsid w:val="00D7495D"/>
    <w:rsid w:val="00D7553D"/>
    <w:rsid w:val="00D75EAC"/>
    <w:rsid w:val="00D76178"/>
    <w:rsid w:val="00D762A9"/>
    <w:rsid w:val="00D763BD"/>
    <w:rsid w:val="00D76C5E"/>
    <w:rsid w:val="00D76D68"/>
    <w:rsid w:val="00D77003"/>
    <w:rsid w:val="00D77222"/>
    <w:rsid w:val="00D77A50"/>
    <w:rsid w:val="00D80543"/>
    <w:rsid w:val="00D80A62"/>
    <w:rsid w:val="00D81153"/>
    <w:rsid w:val="00D811CE"/>
    <w:rsid w:val="00D8166E"/>
    <w:rsid w:val="00D81737"/>
    <w:rsid w:val="00D819A7"/>
    <w:rsid w:val="00D81AB1"/>
    <w:rsid w:val="00D81B3C"/>
    <w:rsid w:val="00D81D5F"/>
    <w:rsid w:val="00D81D92"/>
    <w:rsid w:val="00D823A2"/>
    <w:rsid w:val="00D82664"/>
    <w:rsid w:val="00D826F9"/>
    <w:rsid w:val="00D82CDE"/>
    <w:rsid w:val="00D8361E"/>
    <w:rsid w:val="00D8416E"/>
    <w:rsid w:val="00D8448E"/>
    <w:rsid w:val="00D84AF0"/>
    <w:rsid w:val="00D84F43"/>
    <w:rsid w:val="00D8508F"/>
    <w:rsid w:val="00D8542A"/>
    <w:rsid w:val="00D85AE8"/>
    <w:rsid w:val="00D85EDE"/>
    <w:rsid w:val="00D8619A"/>
    <w:rsid w:val="00D86EEA"/>
    <w:rsid w:val="00D8703F"/>
    <w:rsid w:val="00D87446"/>
    <w:rsid w:val="00D875CA"/>
    <w:rsid w:val="00D8765A"/>
    <w:rsid w:val="00D87AFF"/>
    <w:rsid w:val="00D90781"/>
    <w:rsid w:val="00D90BE0"/>
    <w:rsid w:val="00D90C63"/>
    <w:rsid w:val="00D9112A"/>
    <w:rsid w:val="00D911A0"/>
    <w:rsid w:val="00D91306"/>
    <w:rsid w:val="00D915D7"/>
    <w:rsid w:val="00D91C17"/>
    <w:rsid w:val="00D91D50"/>
    <w:rsid w:val="00D91E7E"/>
    <w:rsid w:val="00D91F8D"/>
    <w:rsid w:val="00D920AE"/>
    <w:rsid w:val="00D9215D"/>
    <w:rsid w:val="00D926F7"/>
    <w:rsid w:val="00D92887"/>
    <w:rsid w:val="00D9288A"/>
    <w:rsid w:val="00D934E3"/>
    <w:rsid w:val="00D941DE"/>
    <w:rsid w:val="00D943F0"/>
    <w:rsid w:val="00D944D3"/>
    <w:rsid w:val="00D95BCE"/>
    <w:rsid w:val="00D961A1"/>
    <w:rsid w:val="00D961D3"/>
    <w:rsid w:val="00D961D8"/>
    <w:rsid w:val="00D963CF"/>
    <w:rsid w:val="00D96407"/>
    <w:rsid w:val="00D96933"/>
    <w:rsid w:val="00D96E81"/>
    <w:rsid w:val="00D96FF7"/>
    <w:rsid w:val="00D9772B"/>
    <w:rsid w:val="00DA01B3"/>
    <w:rsid w:val="00DA0A50"/>
    <w:rsid w:val="00DA0D1B"/>
    <w:rsid w:val="00DA126F"/>
    <w:rsid w:val="00DA13A7"/>
    <w:rsid w:val="00DA1DF6"/>
    <w:rsid w:val="00DA1F1C"/>
    <w:rsid w:val="00DA1F95"/>
    <w:rsid w:val="00DA24D1"/>
    <w:rsid w:val="00DA25F9"/>
    <w:rsid w:val="00DA29A2"/>
    <w:rsid w:val="00DA2A6D"/>
    <w:rsid w:val="00DA2B77"/>
    <w:rsid w:val="00DA366E"/>
    <w:rsid w:val="00DA3895"/>
    <w:rsid w:val="00DA3D25"/>
    <w:rsid w:val="00DA3DF7"/>
    <w:rsid w:val="00DA3E76"/>
    <w:rsid w:val="00DA412B"/>
    <w:rsid w:val="00DA4F04"/>
    <w:rsid w:val="00DA5056"/>
    <w:rsid w:val="00DA51E6"/>
    <w:rsid w:val="00DA5440"/>
    <w:rsid w:val="00DA5543"/>
    <w:rsid w:val="00DA5A80"/>
    <w:rsid w:val="00DA633D"/>
    <w:rsid w:val="00DA67B6"/>
    <w:rsid w:val="00DA7368"/>
    <w:rsid w:val="00DA79DE"/>
    <w:rsid w:val="00DA7C90"/>
    <w:rsid w:val="00DA7D28"/>
    <w:rsid w:val="00DA7DD8"/>
    <w:rsid w:val="00DA7F3A"/>
    <w:rsid w:val="00DB0046"/>
    <w:rsid w:val="00DB0123"/>
    <w:rsid w:val="00DB02ED"/>
    <w:rsid w:val="00DB0DF7"/>
    <w:rsid w:val="00DB18FC"/>
    <w:rsid w:val="00DB1ADC"/>
    <w:rsid w:val="00DB1DFB"/>
    <w:rsid w:val="00DB22E2"/>
    <w:rsid w:val="00DB256F"/>
    <w:rsid w:val="00DB260C"/>
    <w:rsid w:val="00DB2A3F"/>
    <w:rsid w:val="00DB2B9E"/>
    <w:rsid w:val="00DB2C33"/>
    <w:rsid w:val="00DB3394"/>
    <w:rsid w:val="00DB37FD"/>
    <w:rsid w:val="00DB3831"/>
    <w:rsid w:val="00DB3F63"/>
    <w:rsid w:val="00DB4644"/>
    <w:rsid w:val="00DB4E5A"/>
    <w:rsid w:val="00DB54C4"/>
    <w:rsid w:val="00DB556E"/>
    <w:rsid w:val="00DB5AD8"/>
    <w:rsid w:val="00DB6707"/>
    <w:rsid w:val="00DB6A40"/>
    <w:rsid w:val="00DB7107"/>
    <w:rsid w:val="00DB72D8"/>
    <w:rsid w:val="00DB7BF9"/>
    <w:rsid w:val="00DB7C4C"/>
    <w:rsid w:val="00DB7EA1"/>
    <w:rsid w:val="00DC0AA6"/>
    <w:rsid w:val="00DC0B63"/>
    <w:rsid w:val="00DC0CB9"/>
    <w:rsid w:val="00DC0E6F"/>
    <w:rsid w:val="00DC178E"/>
    <w:rsid w:val="00DC17A4"/>
    <w:rsid w:val="00DC18AC"/>
    <w:rsid w:val="00DC2476"/>
    <w:rsid w:val="00DC28C9"/>
    <w:rsid w:val="00DC2D4B"/>
    <w:rsid w:val="00DC326B"/>
    <w:rsid w:val="00DC343C"/>
    <w:rsid w:val="00DC3519"/>
    <w:rsid w:val="00DC3537"/>
    <w:rsid w:val="00DC3569"/>
    <w:rsid w:val="00DC3B96"/>
    <w:rsid w:val="00DC3B9E"/>
    <w:rsid w:val="00DC3BE4"/>
    <w:rsid w:val="00DC4BA1"/>
    <w:rsid w:val="00DC51A3"/>
    <w:rsid w:val="00DC5267"/>
    <w:rsid w:val="00DC546A"/>
    <w:rsid w:val="00DC595F"/>
    <w:rsid w:val="00DC6CFF"/>
    <w:rsid w:val="00DC6FEE"/>
    <w:rsid w:val="00DC744D"/>
    <w:rsid w:val="00DC7457"/>
    <w:rsid w:val="00DC74C2"/>
    <w:rsid w:val="00DC762C"/>
    <w:rsid w:val="00DC79AE"/>
    <w:rsid w:val="00DC7D84"/>
    <w:rsid w:val="00DD06A7"/>
    <w:rsid w:val="00DD081D"/>
    <w:rsid w:val="00DD104E"/>
    <w:rsid w:val="00DD15B8"/>
    <w:rsid w:val="00DD1645"/>
    <w:rsid w:val="00DD1859"/>
    <w:rsid w:val="00DD19C1"/>
    <w:rsid w:val="00DD1AD5"/>
    <w:rsid w:val="00DD1B37"/>
    <w:rsid w:val="00DD28AE"/>
    <w:rsid w:val="00DD2E21"/>
    <w:rsid w:val="00DD2FA7"/>
    <w:rsid w:val="00DD3165"/>
    <w:rsid w:val="00DD3369"/>
    <w:rsid w:val="00DD3C61"/>
    <w:rsid w:val="00DD3CD4"/>
    <w:rsid w:val="00DD46BF"/>
    <w:rsid w:val="00DD4CD0"/>
    <w:rsid w:val="00DD4EB6"/>
    <w:rsid w:val="00DD556F"/>
    <w:rsid w:val="00DD5841"/>
    <w:rsid w:val="00DD5A92"/>
    <w:rsid w:val="00DD5D3E"/>
    <w:rsid w:val="00DD63E5"/>
    <w:rsid w:val="00DD6409"/>
    <w:rsid w:val="00DD6B26"/>
    <w:rsid w:val="00DD6BB1"/>
    <w:rsid w:val="00DD7653"/>
    <w:rsid w:val="00DD7776"/>
    <w:rsid w:val="00DE03D9"/>
    <w:rsid w:val="00DE1514"/>
    <w:rsid w:val="00DE19B9"/>
    <w:rsid w:val="00DE1A37"/>
    <w:rsid w:val="00DE1B58"/>
    <w:rsid w:val="00DE209F"/>
    <w:rsid w:val="00DE296D"/>
    <w:rsid w:val="00DE2FE8"/>
    <w:rsid w:val="00DE3169"/>
    <w:rsid w:val="00DE350C"/>
    <w:rsid w:val="00DE39EC"/>
    <w:rsid w:val="00DE3B8C"/>
    <w:rsid w:val="00DE3C5D"/>
    <w:rsid w:val="00DE420C"/>
    <w:rsid w:val="00DE4AE4"/>
    <w:rsid w:val="00DE4D0A"/>
    <w:rsid w:val="00DE4D7E"/>
    <w:rsid w:val="00DE56A9"/>
    <w:rsid w:val="00DE5732"/>
    <w:rsid w:val="00DE5D46"/>
    <w:rsid w:val="00DE61B2"/>
    <w:rsid w:val="00DE6A1A"/>
    <w:rsid w:val="00DE6D84"/>
    <w:rsid w:val="00DE6FC4"/>
    <w:rsid w:val="00DE6FFB"/>
    <w:rsid w:val="00DE766B"/>
    <w:rsid w:val="00DF1070"/>
    <w:rsid w:val="00DF11DE"/>
    <w:rsid w:val="00DF16CA"/>
    <w:rsid w:val="00DF1B93"/>
    <w:rsid w:val="00DF1EC7"/>
    <w:rsid w:val="00DF22DC"/>
    <w:rsid w:val="00DF26A2"/>
    <w:rsid w:val="00DF29DF"/>
    <w:rsid w:val="00DF2A7E"/>
    <w:rsid w:val="00DF3501"/>
    <w:rsid w:val="00DF3858"/>
    <w:rsid w:val="00DF3D6F"/>
    <w:rsid w:val="00DF424C"/>
    <w:rsid w:val="00DF4951"/>
    <w:rsid w:val="00DF587A"/>
    <w:rsid w:val="00DF5CA9"/>
    <w:rsid w:val="00DF62D7"/>
    <w:rsid w:val="00DF6684"/>
    <w:rsid w:val="00DF6989"/>
    <w:rsid w:val="00DF6D3E"/>
    <w:rsid w:val="00DF76C2"/>
    <w:rsid w:val="00DF780B"/>
    <w:rsid w:val="00DF7A78"/>
    <w:rsid w:val="00DF7D79"/>
    <w:rsid w:val="00E002E7"/>
    <w:rsid w:val="00E006B5"/>
    <w:rsid w:val="00E007D1"/>
    <w:rsid w:val="00E0099C"/>
    <w:rsid w:val="00E00BD4"/>
    <w:rsid w:val="00E0142A"/>
    <w:rsid w:val="00E0158E"/>
    <w:rsid w:val="00E01672"/>
    <w:rsid w:val="00E01755"/>
    <w:rsid w:val="00E01930"/>
    <w:rsid w:val="00E01AF9"/>
    <w:rsid w:val="00E0207B"/>
    <w:rsid w:val="00E024F1"/>
    <w:rsid w:val="00E026BA"/>
    <w:rsid w:val="00E02A2F"/>
    <w:rsid w:val="00E02CCB"/>
    <w:rsid w:val="00E02D89"/>
    <w:rsid w:val="00E034CF"/>
    <w:rsid w:val="00E036BB"/>
    <w:rsid w:val="00E03903"/>
    <w:rsid w:val="00E03BFE"/>
    <w:rsid w:val="00E03DAD"/>
    <w:rsid w:val="00E04151"/>
    <w:rsid w:val="00E0476E"/>
    <w:rsid w:val="00E0491A"/>
    <w:rsid w:val="00E0519B"/>
    <w:rsid w:val="00E06815"/>
    <w:rsid w:val="00E0690B"/>
    <w:rsid w:val="00E072E6"/>
    <w:rsid w:val="00E073BA"/>
    <w:rsid w:val="00E07648"/>
    <w:rsid w:val="00E0786A"/>
    <w:rsid w:val="00E0793C"/>
    <w:rsid w:val="00E07EE4"/>
    <w:rsid w:val="00E1077E"/>
    <w:rsid w:val="00E10D81"/>
    <w:rsid w:val="00E10EE6"/>
    <w:rsid w:val="00E11331"/>
    <w:rsid w:val="00E1142A"/>
    <w:rsid w:val="00E115AC"/>
    <w:rsid w:val="00E11D0C"/>
    <w:rsid w:val="00E11F2E"/>
    <w:rsid w:val="00E12201"/>
    <w:rsid w:val="00E12606"/>
    <w:rsid w:val="00E12BEC"/>
    <w:rsid w:val="00E13262"/>
    <w:rsid w:val="00E139CB"/>
    <w:rsid w:val="00E13BC3"/>
    <w:rsid w:val="00E13E10"/>
    <w:rsid w:val="00E13EAC"/>
    <w:rsid w:val="00E14858"/>
    <w:rsid w:val="00E14B27"/>
    <w:rsid w:val="00E14CCD"/>
    <w:rsid w:val="00E14D82"/>
    <w:rsid w:val="00E14F00"/>
    <w:rsid w:val="00E15088"/>
    <w:rsid w:val="00E152C5"/>
    <w:rsid w:val="00E153CF"/>
    <w:rsid w:val="00E15558"/>
    <w:rsid w:val="00E15A2F"/>
    <w:rsid w:val="00E16589"/>
    <w:rsid w:val="00E166CE"/>
    <w:rsid w:val="00E16995"/>
    <w:rsid w:val="00E16C64"/>
    <w:rsid w:val="00E16F72"/>
    <w:rsid w:val="00E17984"/>
    <w:rsid w:val="00E17E53"/>
    <w:rsid w:val="00E17E79"/>
    <w:rsid w:val="00E2009B"/>
    <w:rsid w:val="00E200A4"/>
    <w:rsid w:val="00E20888"/>
    <w:rsid w:val="00E20BDE"/>
    <w:rsid w:val="00E20F42"/>
    <w:rsid w:val="00E20F9B"/>
    <w:rsid w:val="00E2106D"/>
    <w:rsid w:val="00E210F5"/>
    <w:rsid w:val="00E215C8"/>
    <w:rsid w:val="00E21CBA"/>
    <w:rsid w:val="00E21F39"/>
    <w:rsid w:val="00E221A9"/>
    <w:rsid w:val="00E22998"/>
    <w:rsid w:val="00E22AB6"/>
    <w:rsid w:val="00E22D29"/>
    <w:rsid w:val="00E2328F"/>
    <w:rsid w:val="00E233FD"/>
    <w:rsid w:val="00E23780"/>
    <w:rsid w:val="00E23FC0"/>
    <w:rsid w:val="00E2411C"/>
    <w:rsid w:val="00E2453A"/>
    <w:rsid w:val="00E24B36"/>
    <w:rsid w:val="00E24F16"/>
    <w:rsid w:val="00E250AB"/>
    <w:rsid w:val="00E25446"/>
    <w:rsid w:val="00E25FE4"/>
    <w:rsid w:val="00E263F5"/>
    <w:rsid w:val="00E26747"/>
    <w:rsid w:val="00E26AFF"/>
    <w:rsid w:val="00E2712E"/>
    <w:rsid w:val="00E27200"/>
    <w:rsid w:val="00E27500"/>
    <w:rsid w:val="00E2756C"/>
    <w:rsid w:val="00E27A05"/>
    <w:rsid w:val="00E27C1F"/>
    <w:rsid w:val="00E3010D"/>
    <w:rsid w:val="00E30288"/>
    <w:rsid w:val="00E30BF8"/>
    <w:rsid w:val="00E30EB1"/>
    <w:rsid w:val="00E314C1"/>
    <w:rsid w:val="00E317DF"/>
    <w:rsid w:val="00E31F2E"/>
    <w:rsid w:val="00E3238C"/>
    <w:rsid w:val="00E3258D"/>
    <w:rsid w:val="00E32B14"/>
    <w:rsid w:val="00E330AB"/>
    <w:rsid w:val="00E33426"/>
    <w:rsid w:val="00E33B45"/>
    <w:rsid w:val="00E343FF"/>
    <w:rsid w:val="00E34A48"/>
    <w:rsid w:val="00E35049"/>
    <w:rsid w:val="00E352AD"/>
    <w:rsid w:val="00E3538B"/>
    <w:rsid w:val="00E353E5"/>
    <w:rsid w:val="00E357EE"/>
    <w:rsid w:val="00E358BC"/>
    <w:rsid w:val="00E36EF1"/>
    <w:rsid w:val="00E3771E"/>
    <w:rsid w:val="00E37841"/>
    <w:rsid w:val="00E37B31"/>
    <w:rsid w:val="00E37DA1"/>
    <w:rsid w:val="00E403F0"/>
    <w:rsid w:val="00E40BD0"/>
    <w:rsid w:val="00E414FE"/>
    <w:rsid w:val="00E416E1"/>
    <w:rsid w:val="00E41B9F"/>
    <w:rsid w:val="00E42738"/>
    <w:rsid w:val="00E42942"/>
    <w:rsid w:val="00E43382"/>
    <w:rsid w:val="00E445DF"/>
    <w:rsid w:val="00E44A91"/>
    <w:rsid w:val="00E44C78"/>
    <w:rsid w:val="00E44E07"/>
    <w:rsid w:val="00E44E2E"/>
    <w:rsid w:val="00E453B4"/>
    <w:rsid w:val="00E458B9"/>
    <w:rsid w:val="00E4611D"/>
    <w:rsid w:val="00E463DF"/>
    <w:rsid w:val="00E4784D"/>
    <w:rsid w:val="00E4793B"/>
    <w:rsid w:val="00E501D3"/>
    <w:rsid w:val="00E507D9"/>
    <w:rsid w:val="00E50994"/>
    <w:rsid w:val="00E50AAC"/>
    <w:rsid w:val="00E513DC"/>
    <w:rsid w:val="00E51845"/>
    <w:rsid w:val="00E51982"/>
    <w:rsid w:val="00E51AEC"/>
    <w:rsid w:val="00E52033"/>
    <w:rsid w:val="00E520CE"/>
    <w:rsid w:val="00E5234E"/>
    <w:rsid w:val="00E52AA9"/>
    <w:rsid w:val="00E53347"/>
    <w:rsid w:val="00E53AB2"/>
    <w:rsid w:val="00E53D13"/>
    <w:rsid w:val="00E541F1"/>
    <w:rsid w:val="00E5464B"/>
    <w:rsid w:val="00E550D2"/>
    <w:rsid w:val="00E558DC"/>
    <w:rsid w:val="00E559B3"/>
    <w:rsid w:val="00E55C8A"/>
    <w:rsid w:val="00E56779"/>
    <w:rsid w:val="00E567FA"/>
    <w:rsid w:val="00E56966"/>
    <w:rsid w:val="00E56C87"/>
    <w:rsid w:val="00E56DE7"/>
    <w:rsid w:val="00E56EAE"/>
    <w:rsid w:val="00E56FF8"/>
    <w:rsid w:val="00E57159"/>
    <w:rsid w:val="00E572C4"/>
    <w:rsid w:val="00E5792F"/>
    <w:rsid w:val="00E57C95"/>
    <w:rsid w:val="00E6008C"/>
    <w:rsid w:val="00E6019E"/>
    <w:rsid w:val="00E602E2"/>
    <w:rsid w:val="00E606A7"/>
    <w:rsid w:val="00E6127B"/>
    <w:rsid w:val="00E61571"/>
    <w:rsid w:val="00E61AFF"/>
    <w:rsid w:val="00E61B1E"/>
    <w:rsid w:val="00E61FDF"/>
    <w:rsid w:val="00E6223A"/>
    <w:rsid w:val="00E62338"/>
    <w:rsid w:val="00E63553"/>
    <w:rsid w:val="00E635F4"/>
    <w:rsid w:val="00E63CB5"/>
    <w:rsid w:val="00E63F9A"/>
    <w:rsid w:val="00E64242"/>
    <w:rsid w:val="00E64280"/>
    <w:rsid w:val="00E64389"/>
    <w:rsid w:val="00E645B0"/>
    <w:rsid w:val="00E64612"/>
    <w:rsid w:val="00E64821"/>
    <w:rsid w:val="00E65419"/>
    <w:rsid w:val="00E6569A"/>
    <w:rsid w:val="00E66260"/>
    <w:rsid w:val="00E66455"/>
    <w:rsid w:val="00E669A8"/>
    <w:rsid w:val="00E66A98"/>
    <w:rsid w:val="00E66F56"/>
    <w:rsid w:val="00E670E3"/>
    <w:rsid w:val="00E6716E"/>
    <w:rsid w:val="00E672EC"/>
    <w:rsid w:val="00E678EC"/>
    <w:rsid w:val="00E678F7"/>
    <w:rsid w:val="00E67AA2"/>
    <w:rsid w:val="00E70034"/>
    <w:rsid w:val="00E70299"/>
    <w:rsid w:val="00E702AC"/>
    <w:rsid w:val="00E704DB"/>
    <w:rsid w:val="00E70957"/>
    <w:rsid w:val="00E70E19"/>
    <w:rsid w:val="00E71063"/>
    <w:rsid w:val="00E712C5"/>
    <w:rsid w:val="00E7141F"/>
    <w:rsid w:val="00E72197"/>
    <w:rsid w:val="00E724A4"/>
    <w:rsid w:val="00E72637"/>
    <w:rsid w:val="00E72C2E"/>
    <w:rsid w:val="00E7308D"/>
    <w:rsid w:val="00E736D1"/>
    <w:rsid w:val="00E73A95"/>
    <w:rsid w:val="00E73B1F"/>
    <w:rsid w:val="00E73C7F"/>
    <w:rsid w:val="00E73D62"/>
    <w:rsid w:val="00E7400B"/>
    <w:rsid w:val="00E744AB"/>
    <w:rsid w:val="00E7453A"/>
    <w:rsid w:val="00E74E63"/>
    <w:rsid w:val="00E74EAE"/>
    <w:rsid w:val="00E753D2"/>
    <w:rsid w:val="00E75580"/>
    <w:rsid w:val="00E75800"/>
    <w:rsid w:val="00E75B79"/>
    <w:rsid w:val="00E75E72"/>
    <w:rsid w:val="00E75EA5"/>
    <w:rsid w:val="00E75F95"/>
    <w:rsid w:val="00E767E5"/>
    <w:rsid w:val="00E76C09"/>
    <w:rsid w:val="00E779B7"/>
    <w:rsid w:val="00E77A64"/>
    <w:rsid w:val="00E77A79"/>
    <w:rsid w:val="00E77BB2"/>
    <w:rsid w:val="00E77CB2"/>
    <w:rsid w:val="00E80382"/>
    <w:rsid w:val="00E80BE1"/>
    <w:rsid w:val="00E80F28"/>
    <w:rsid w:val="00E80F80"/>
    <w:rsid w:val="00E8116C"/>
    <w:rsid w:val="00E811A5"/>
    <w:rsid w:val="00E81BF5"/>
    <w:rsid w:val="00E823D4"/>
    <w:rsid w:val="00E82656"/>
    <w:rsid w:val="00E82660"/>
    <w:rsid w:val="00E826E6"/>
    <w:rsid w:val="00E82ACB"/>
    <w:rsid w:val="00E82ADC"/>
    <w:rsid w:val="00E82AF2"/>
    <w:rsid w:val="00E8318F"/>
    <w:rsid w:val="00E836CD"/>
    <w:rsid w:val="00E846A3"/>
    <w:rsid w:val="00E846F8"/>
    <w:rsid w:val="00E8506D"/>
    <w:rsid w:val="00E854F4"/>
    <w:rsid w:val="00E85BBF"/>
    <w:rsid w:val="00E85F71"/>
    <w:rsid w:val="00E863A8"/>
    <w:rsid w:val="00E868D4"/>
    <w:rsid w:val="00E87208"/>
    <w:rsid w:val="00E8761E"/>
    <w:rsid w:val="00E87655"/>
    <w:rsid w:val="00E877AE"/>
    <w:rsid w:val="00E87DD3"/>
    <w:rsid w:val="00E900C4"/>
    <w:rsid w:val="00E913B5"/>
    <w:rsid w:val="00E91975"/>
    <w:rsid w:val="00E91BC4"/>
    <w:rsid w:val="00E92063"/>
    <w:rsid w:val="00E922CB"/>
    <w:rsid w:val="00E92762"/>
    <w:rsid w:val="00E92B9C"/>
    <w:rsid w:val="00E92E38"/>
    <w:rsid w:val="00E93A02"/>
    <w:rsid w:val="00E93E6D"/>
    <w:rsid w:val="00E94C6A"/>
    <w:rsid w:val="00E952C7"/>
    <w:rsid w:val="00E9536D"/>
    <w:rsid w:val="00E96044"/>
    <w:rsid w:val="00E96979"/>
    <w:rsid w:val="00E96A34"/>
    <w:rsid w:val="00E97769"/>
    <w:rsid w:val="00E97A27"/>
    <w:rsid w:val="00E97D58"/>
    <w:rsid w:val="00EA031E"/>
    <w:rsid w:val="00EA0479"/>
    <w:rsid w:val="00EA086F"/>
    <w:rsid w:val="00EA0899"/>
    <w:rsid w:val="00EA0B59"/>
    <w:rsid w:val="00EA0E43"/>
    <w:rsid w:val="00EA0F56"/>
    <w:rsid w:val="00EA0FD5"/>
    <w:rsid w:val="00EA1100"/>
    <w:rsid w:val="00EA13BA"/>
    <w:rsid w:val="00EA1662"/>
    <w:rsid w:val="00EA1BC3"/>
    <w:rsid w:val="00EA1F56"/>
    <w:rsid w:val="00EA2618"/>
    <w:rsid w:val="00EA265B"/>
    <w:rsid w:val="00EA2A7A"/>
    <w:rsid w:val="00EA2CAE"/>
    <w:rsid w:val="00EA3134"/>
    <w:rsid w:val="00EA33EB"/>
    <w:rsid w:val="00EA34D1"/>
    <w:rsid w:val="00EA35C7"/>
    <w:rsid w:val="00EA374B"/>
    <w:rsid w:val="00EA37AC"/>
    <w:rsid w:val="00EA3F5B"/>
    <w:rsid w:val="00EA446F"/>
    <w:rsid w:val="00EA48C8"/>
    <w:rsid w:val="00EA4ED8"/>
    <w:rsid w:val="00EA5453"/>
    <w:rsid w:val="00EA566E"/>
    <w:rsid w:val="00EA5801"/>
    <w:rsid w:val="00EA5D79"/>
    <w:rsid w:val="00EA6878"/>
    <w:rsid w:val="00EA6959"/>
    <w:rsid w:val="00EA6C5D"/>
    <w:rsid w:val="00EA6C6E"/>
    <w:rsid w:val="00EA6D15"/>
    <w:rsid w:val="00EA70C5"/>
    <w:rsid w:val="00EA776C"/>
    <w:rsid w:val="00EA7B3F"/>
    <w:rsid w:val="00EA7EA2"/>
    <w:rsid w:val="00EB00B3"/>
    <w:rsid w:val="00EB03E4"/>
    <w:rsid w:val="00EB0990"/>
    <w:rsid w:val="00EB09C9"/>
    <w:rsid w:val="00EB15E0"/>
    <w:rsid w:val="00EB16B2"/>
    <w:rsid w:val="00EB2532"/>
    <w:rsid w:val="00EB2ED8"/>
    <w:rsid w:val="00EB341D"/>
    <w:rsid w:val="00EB3740"/>
    <w:rsid w:val="00EB39B4"/>
    <w:rsid w:val="00EB3DA7"/>
    <w:rsid w:val="00EB3EE7"/>
    <w:rsid w:val="00EB401F"/>
    <w:rsid w:val="00EB46D7"/>
    <w:rsid w:val="00EB4FAE"/>
    <w:rsid w:val="00EB50F0"/>
    <w:rsid w:val="00EB5204"/>
    <w:rsid w:val="00EB556F"/>
    <w:rsid w:val="00EB564D"/>
    <w:rsid w:val="00EB58A5"/>
    <w:rsid w:val="00EB5E8A"/>
    <w:rsid w:val="00EB62B8"/>
    <w:rsid w:val="00EB63C9"/>
    <w:rsid w:val="00EB6455"/>
    <w:rsid w:val="00EB6781"/>
    <w:rsid w:val="00EB6D9F"/>
    <w:rsid w:val="00EB74D7"/>
    <w:rsid w:val="00EB78D8"/>
    <w:rsid w:val="00EB79E1"/>
    <w:rsid w:val="00EB7AAE"/>
    <w:rsid w:val="00EB7FCE"/>
    <w:rsid w:val="00EC0050"/>
    <w:rsid w:val="00EC08ED"/>
    <w:rsid w:val="00EC0EC0"/>
    <w:rsid w:val="00EC152C"/>
    <w:rsid w:val="00EC1BCA"/>
    <w:rsid w:val="00EC1DE0"/>
    <w:rsid w:val="00EC20F5"/>
    <w:rsid w:val="00EC2A8C"/>
    <w:rsid w:val="00EC2B98"/>
    <w:rsid w:val="00EC2D64"/>
    <w:rsid w:val="00EC3353"/>
    <w:rsid w:val="00EC377F"/>
    <w:rsid w:val="00EC3814"/>
    <w:rsid w:val="00EC3BE2"/>
    <w:rsid w:val="00EC42EE"/>
    <w:rsid w:val="00EC483D"/>
    <w:rsid w:val="00EC48D1"/>
    <w:rsid w:val="00EC4F70"/>
    <w:rsid w:val="00EC56BD"/>
    <w:rsid w:val="00EC59A0"/>
    <w:rsid w:val="00EC6165"/>
    <w:rsid w:val="00EC61C9"/>
    <w:rsid w:val="00EC6518"/>
    <w:rsid w:val="00EC66D4"/>
    <w:rsid w:val="00EC696C"/>
    <w:rsid w:val="00EC6A25"/>
    <w:rsid w:val="00EC6C38"/>
    <w:rsid w:val="00EC707B"/>
    <w:rsid w:val="00EC73DF"/>
    <w:rsid w:val="00ED039D"/>
    <w:rsid w:val="00ED0939"/>
    <w:rsid w:val="00ED0C60"/>
    <w:rsid w:val="00ED0F6D"/>
    <w:rsid w:val="00ED1613"/>
    <w:rsid w:val="00ED204B"/>
    <w:rsid w:val="00ED21FE"/>
    <w:rsid w:val="00ED23A2"/>
    <w:rsid w:val="00ED279E"/>
    <w:rsid w:val="00ED2A9C"/>
    <w:rsid w:val="00ED36A7"/>
    <w:rsid w:val="00ED3982"/>
    <w:rsid w:val="00ED40E2"/>
    <w:rsid w:val="00ED44B9"/>
    <w:rsid w:val="00ED5D6B"/>
    <w:rsid w:val="00ED5E5D"/>
    <w:rsid w:val="00ED6F01"/>
    <w:rsid w:val="00ED71F1"/>
    <w:rsid w:val="00ED7CE7"/>
    <w:rsid w:val="00EE02A3"/>
    <w:rsid w:val="00EE0986"/>
    <w:rsid w:val="00EE0B19"/>
    <w:rsid w:val="00EE0F99"/>
    <w:rsid w:val="00EE1031"/>
    <w:rsid w:val="00EE10E0"/>
    <w:rsid w:val="00EE1921"/>
    <w:rsid w:val="00EE2080"/>
    <w:rsid w:val="00EE271C"/>
    <w:rsid w:val="00EE28D7"/>
    <w:rsid w:val="00EE2967"/>
    <w:rsid w:val="00EE2B46"/>
    <w:rsid w:val="00EE38C8"/>
    <w:rsid w:val="00EE3F9E"/>
    <w:rsid w:val="00EE43F3"/>
    <w:rsid w:val="00EE48F5"/>
    <w:rsid w:val="00EE4CEF"/>
    <w:rsid w:val="00EE52DF"/>
    <w:rsid w:val="00EE5E93"/>
    <w:rsid w:val="00EE74F3"/>
    <w:rsid w:val="00EE754C"/>
    <w:rsid w:val="00EF04A8"/>
    <w:rsid w:val="00EF0908"/>
    <w:rsid w:val="00EF0D50"/>
    <w:rsid w:val="00EF1150"/>
    <w:rsid w:val="00EF1519"/>
    <w:rsid w:val="00EF1700"/>
    <w:rsid w:val="00EF1944"/>
    <w:rsid w:val="00EF1A1D"/>
    <w:rsid w:val="00EF1CD7"/>
    <w:rsid w:val="00EF2AD4"/>
    <w:rsid w:val="00EF30F5"/>
    <w:rsid w:val="00EF387F"/>
    <w:rsid w:val="00EF3CDA"/>
    <w:rsid w:val="00EF44D2"/>
    <w:rsid w:val="00EF5115"/>
    <w:rsid w:val="00EF516A"/>
    <w:rsid w:val="00EF520C"/>
    <w:rsid w:val="00EF529C"/>
    <w:rsid w:val="00EF5607"/>
    <w:rsid w:val="00EF56A1"/>
    <w:rsid w:val="00EF5849"/>
    <w:rsid w:val="00EF5A18"/>
    <w:rsid w:val="00EF5CE1"/>
    <w:rsid w:val="00EF5FC1"/>
    <w:rsid w:val="00EF6349"/>
    <w:rsid w:val="00EF6511"/>
    <w:rsid w:val="00EF74BC"/>
    <w:rsid w:val="00EF77B2"/>
    <w:rsid w:val="00EF79D0"/>
    <w:rsid w:val="00EF7ADD"/>
    <w:rsid w:val="00EF7C1C"/>
    <w:rsid w:val="00EF7DD6"/>
    <w:rsid w:val="00F00847"/>
    <w:rsid w:val="00F00B41"/>
    <w:rsid w:val="00F00BC5"/>
    <w:rsid w:val="00F00EB9"/>
    <w:rsid w:val="00F01177"/>
    <w:rsid w:val="00F015E4"/>
    <w:rsid w:val="00F01698"/>
    <w:rsid w:val="00F01A45"/>
    <w:rsid w:val="00F01B5B"/>
    <w:rsid w:val="00F02359"/>
    <w:rsid w:val="00F0284F"/>
    <w:rsid w:val="00F0285B"/>
    <w:rsid w:val="00F02A14"/>
    <w:rsid w:val="00F03212"/>
    <w:rsid w:val="00F03487"/>
    <w:rsid w:val="00F03B21"/>
    <w:rsid w:val="00F03D5A"/>
    <w:rsid w:val="00F04DD5"/>
    <w:rsid w:val="00F04E67"/>
    <w:rsid w:val="00F04F2F"/>
    <w:rsid w:val="00F050D9"/>
    <w:rsid w:val="00F058A4"/>
    <w:rsid w:val="00F058D6"/>
    <w:rsid w:val="00F065FD"/>
    <w:rsid w:val="00F06B59"/>
    <w:rsid w:val="00F06CC2"/>
    <w:rsid w:val="00F07271"/>
    <w:rsid w:val="00F07324"/>
    <w:rsid w:val="00F078D4"/>
    <w:rsid w:val="00F07B76"/>
    <w:rsid w:val="00F07DEF"/>
    <w:rsid w:val="00F10A52"/>
    <w:rsid w:val="00F11587"/>
    <w:rsid w:val="00F11909"/>
    <w:rsid w:val="00F11A28"/>
    <w:rsid w:val="00F11FAB"/>
    <w:rsid w:val="00F120A9"/>
    <w:rsid w:val="00F12291"/>
    <w:rsid w:val="00F129B5"/>
    <w:rsid w:val="00F138AD"/>
    <w:rsid w:val="00F13EB6"/>
    <w:rsid w:val="00F148A4"/>
    <w:rsid w:val="00F153ED"/>
    <w:rsid w:val="00F1560E"/>
    <w:rsid w:val="00F1579F"/>
    <w:rsid w:val="00F158F8"/>
    <w:rsid w:val="00F15F18"/>
    <w:rsid w:val="00F164B3"/>
    <w:rsid w:val="00F16D67"/>
    <w:rsid w:val="00F16F6B"/>
    <w:rsid w:val="00F16F9D"/>
    <w:rsid w:val="00F1706A"/>
    <w:rsid w:val="00F17580"/>
    <w:rsid w:val="00F17897"/>
    <w:rsid w:val="00F17A04"/>
    <w:rsid w:val="00F17BDF"/>
    <w:rsid w:val="00F200F6"/>
    <w:rsid w:val="00F20224"/>
    <w:rsid w:val="00F20273"/>
    <w:rsid w:val="00F20B35"/>
    <w:rsid w:val="00F21081"/>
    <w:rsid w:val="00F212EC"/>
    <w:rsid w:val="00F21388"/>
    <w:rsid w:val="00F2140B"/>
    <w:rsid w:val="00F21509"/>
    <w:rsid w:val="00F21581"/>
    <w:rsid w:val="00F2197B"/>
    <w:rsid w:val="00F219EB"/>
    <w:rsid w:val="00F225A3"/>
    <w:rsid w:val="00F225ED"/>
    <w:rsid w:val="00F225F6"/>
    <w:rsid w:val="00F22898"/>
    <w:rsid w:val="00F22D7E"/>
    <w:rsid w:val="00F22F28"/>
    <w:rsid w:val="00F236A1"/>
    <w:rsid w:val="00F236A2"/>
    <w:rsid w:val="00F23B0C"/>
    <w:rsid w:val="00F24137"/>
    <w:rsid w:val="00F24215"/>
    <w:rsid w:val="00F2424F"/>
    <w:rsid w:val="00F24437"/>
    <w:rsid w:val="00F2485E"/>
    <w:rsid w:val="00F24A31"/>
    <w:rsid w:val="00F2544C"/>
    <w:rsid w:val="00F263BC"/>
    <w:rsid w:val="00F2687F"/>
    <w:rsid w:val="00F26D05"/>
    <w:rsid w:val="00F27308"/>
    <w:rsid w:val="00F273B9"/>
    <w:rsid w:val="00F27603"/>
    <w:rsid w:val="00F27A71"/>
    <w:rsid w:val="00F3006C"/>
    <w:rsid w:val="00F3099A"/>
    <w:rsid w:val="00F30DFD"/>
    <w:rsid w:val="00F31104"/>
    <w:rsid w:val="00F31E50"/>
    <w:rsid w:val="00F32C3B"/>
    <w:rsid w:val="00F32EE3"/>
    <w:rsid w:val="00F3371E"/>
    <w:rsid w:val="00F3382E"/>
    <w:rsid w:val="00F33A2E"/>
    <w:rsid w:val="00F33DF9"/>
    <w:rsid w:val="00F33EE6"/>
    <w:rsid w:val="00F3410F"/>
    <w:rsid w:val="00F345B0"/>
    <w:rsid w:val="00F34863"/>
    <w:rsid w:val="00F34A2A"/>
    <w:rsid w:val="00F34A58"/>
    <w:rsid w:val="00F34BBC"/>
    <w:rsid w:val="00F34F20"/>
    <w:rsid w:val="00F35956"/>
    <w:rsid w:val="00F359A9"/>
    <w:rsid w:val="00F35AFA"/>
    <w:rsid w:val="00F35C6D"/>
    <w:rsid w:val="00F36AEB"/>
    <w:rsid w:val="00F36E38"/>
    <w:rsid w:val="00F37230"/>
    <w:rsid w:val="00F37A66"/>
    <w:rsid w:val="00F37FC1"/>
    <w:rsid w:val="00F405F8"/>
    <w:rsid w:val="00F40600"/>
    <w:rsid w:val="00F4077C"/>
    <w:rsid w:val="00F40DB6"/>
    <w:rsid w:val="00F41194"/>
    <w:rsid w:val="00F4141C"/>
    <w:rsid w:val="00F417AA"/>
    <w:rsid w:val="00F41AB8"/>
    <w:rsid w:val="00F42408"/>
    <w:rsid w:val="00F42B6B"/>
    <w:rsid w:val="00F42DC5"/>
    <w:rsid w:val="00F42E10"/>
    <w:rsid w:val="00F43408"/>
    <w:rsid w:val="00F4362D"/>
    <w:rsid w:val="00F43E46"/>
    <w:rsid w:val="00F4416B"/>
    <w:rsid w:val="00F44CC6"/>
    <w:rsid w:val="00F44D24"/>
    <w:rsid w:val="00F453D5"/>
    <w:rsid w:val="00F458C7"/>
    <w:rsid w:val="00F45A2D"/>
    <w:rsid w:val="00F4628D"/>
    <w:rsid w:val="00F46BC6"/>
    <w:rsid w:val="00F46ECF"/>
    <w:rsid w:val="00F474A5"/>
    <w:rsid w:val="00F50837"/>
    <w:rsid w:val="00F50B45"/>
    <w:rsid w:val="00F50C8A"/>
    <w:rsid w:val="00F510E7"/>
    <w:rsid w:val="00F52218"/>
    <w:rsid w:val="00F52436"/>
    <w:rsid w:val="00F52527"/>
    <w:rsid w:val="00F5270F"/>
    <w:rsid w:val="00F5296B"/>
    <w:rsid w:val="00F52DFB"/>
    <w:rsid w:val="00F535E9"/>
    <w:rsid w:val="00F53978"/>
    <w:rsid w:val="00F53D8A"/>
    <w:rsid w:val="00F545BA"/>
    <w:rsid w:val="00F5468C"/>
    <w:rsid w:val="00F54DEE"/>
    <w:rsid w:val="00F54E29"/>
    <w:rsid w:val="00F5532E"/>
    <w:rsid w:val="00F556E7"/>
    <w:rsid w:val="00F55BC5"/>
    <w:rsid w:val="00F55D61"/>
    <w:rsid w:val="00F55ECA"/>
    <w:rsid w:val="00F56296"/>
    <w:rsid w:val="00F56A15"/>
    <w:rsid w:val="00F56B8E"/>
    <w:rsid w:val="00F56CA0"/>
    <w:rsid w:val="00F56F10"/>
    <w:rsid w:val="00F56F90"/>
    <w:rsid w:val="00F57220"/>
    <w:rsid w:val="00F57DAF"/>
    <w:rsid w:val="00F608C2"/>
    <w:rsid w:val="00F60E5F"/>
    <w:rsid w:val="00F611CD"/>
    <w:rsid w:val="00F620F7"/>
    <w:rsid w:val="00F6221B"/>
    <w:rsid w:val="00F62522"/>
    <w:rsid w:val="00F6275C"/>
    <w:rsid w:val="00F629D9"/>
    <w:rsid w:val="00F62BA2"/>
    <w:rsid w:val="00F6363F"/>
    <w:rsid w:val="00F6380B"/>
    <w:rsid w:val="00F63822"/>
    <w:rsid w:val="00F638D4"/>
    <w:rsid w:val="00F63D70"/>
    <w:rsid w:val="00F63F77"/>
    <w:rsid w:val="00F65041"/>
    <w:rsid w:val="00F65163"/>
    <w:rsid w:val="00F651B3"/>
    <w:rsid w:val="00F653E1"/>
    <w:rsid w:val="00F655AB"/>
    <w:rsid w:val="00F65653"/>
    <w:rsid w:val="00F65C60"/>
    <w:rsid w:val="00F65FA9"/>
    <w:rsid w:val="00F65FD3"/>
    <w:rsid w:val="00F667F1"/>
    <w:rsid w:val="00F66941"/>
    <w:rsid w:val="00F669B4"/>
    <w:rsid w:val="00F66B11"/>
    <w:rsid w:val="00F66C07"/>
    <w:rsid w:val="00F66C26"/>
    <w:rsid w:val="00F674B9"/>
    <w:rsid w:val="00F67E17"/>
    <w:rsid w:val="00F70148"/>
    <w:rsid w:val="00F70921"/>
    <w:rsid w:val="00F70A0E"/>
    <w:rsid w:val="00F70EA0"/>
    <w:rsid w:val="00F712AD"/>
    <w:rsid w:val="00F713CF"/>
    <w:rsid w:val="00F718DB"/>
    <w:rsid w:val="00F71EA8"/>
    <w:rsid w:val="00F71FB6"/>
    <w:rsid w:val="00F72238"/>
    <w:rsid w:val="00F723BF"/>
    <w:rsid w:val="00F7278A"/>
    <w:rsid w:val="00F72830"/>
    <w:rsid w:val="00F729D4"/>
    <w:rsid w:val="00F72A2B"/>
    <w:rsid w:val="00F731B5"/>
    <w:rsid w:val="00F73B01"/>
    <w:rsid w:val="00F73F95"/>
    <w:rsid w:val="00F73FAF"/>
    <w:rsid w:val="00F7416C"/>
    <w:rsid w:val="00F74BA4"/>
    <w:rsid w:val="00F75067"/>
    <w:rsid w:val="00F751C2"/>
    <w:rsid w:val="00F75211"/>
    <w:rsid w:val="00F7545E"/>
    <w:rsid w:val="00F75551"/>
    <w:rsid w:val="00F7561A"/>
    <w:rsid w:val="00F7610B"/>
    <w:rsid w:val="00F76322"/>
    <w:rsid w:val="00F764F8"/>
    <w:rsid w:val="00F76669"/>
    <w:rsid w:val="00F76E70"/>
    <w:rsid w:val="00F76F31"/>
    <w:rsid w:val="00F77290"/>
    <w:rsid w:val="00F800D4"/>
    <w:rsid w:val="00F8047F"/>
    <w:rsid w:val="00F807D9"/>
    <w:rsid w:val="00F80A54"/>
    <w:rsid w:val="00F80C82"/>
    <w:rsid w:val="00F80D47"/>
    <w:rsid w:val="00F80E6D"/>
    <w:rsid w:val="00F8139C"/>
    <w:rsid w:val="00F819F8"/>
    <w:rsid w:val="00F81A12"/>
    <w:rsid w:val="00F81C97"/>
    <w:rsid w:val="00F81DDF"/>
    <w:rsid w:val="00F82943"/>
    <w:rsid w:val="00F8352F"/>
    <w:rsid w:val="00F8374C"/>
    <w:rsid w:val="00F83B3E"/>
    <w:rsid w:val="00F83CB5"/>
    <w:rsid w:val="00F83F22"/>
    <w:rsid w:val="00F840BB"/>
    <w:rsid w:val="00F842AB"/>
    <w:rsid w:val="00F8449F"/>
    <w:rsid w:val="00F84CBD"/>
    <w:rsid w:val="00F85A0C"/>
    <w:rsid w:val="00F861E4"/>
    <w:rsid w:val="00F86220"/>
    <w:rsid w:val="00F864E2"/>
    <w:rsid w:val="00F8688F"/>
    <w:rsid w:val="00F86DDB"/>
    <w:rsid w:val="00F86F45"/>
    <w:rsid w:val="00F8714D"/>
    <w:rsid w:val="00F87354"/>
    <w:rsid w:val="00F877EF"/>
    <w:rsid w:val="00F877F6"/>
    <w:rsid w:val="00F90090"/>
    <w:rsid w:val="00F90792"/>
    <w:rsid w:val="00F908A9"/>
    <w:rsid w:val="00F90E2D"/>
    <w:rsid w:val="00F9152F"/>
    <w:rsid w:val="00F915E9"/>
    <w:rsid w:val="00F91671"/>
    <w:rsid w:val="00F928E5"/>
    <w:rsid w:val="00F92E27"/>
    <w:rsid w:val="00F933B1"/>
    <w:rsid w:val="00F939D7"/>
    <w:rsid w:val="00F93A1F"/>
    <w:rsid w:val="00F93D74"/>
    <w:rsid w:val="00F94078"/>
    <w:rsid w:val="00F94586"/>
    <w:rsid w:val="00F94F2F"/>
    <w:rsid w:val="00F95229"/>
    <w:rsid w:val="00F95946"/>
    <w:rsid w:val="00F966C5"/>
    <w:rsid w:val="00F973BC"/>
    <w:rsid w:val="00F9746F"/>
    <w:rsid w:val="00F97677"/>
    <w:rsid w:val="00F977DA"/>
    <w:rsid w:val="00F97928"/>
    <w:rsid w:val="00F97C14"/>
    <w:rsid w:val="00FA041E"/>
    <w:rsid w:val="00FA0735"/>
    <w:rsid w:val="00FA09E8"/>
    <w:rsid w:val="00FA0A08"/>
    <w:rsid w:val="00FA0C47"/>
    <w:rsid w:val="00FA0F2D"/>
    <w:rsid w:val="00FA17E4"/>
    <w:rsid w:val="00FA1AA5"/>
    <w:rsid w:val="00FA1B04"/>
    <w:rsid w:val="00FA24FF"/>
    <w:rsid w:val="00FA25F7"/>
    <w:rsid w:val="00FA2A79"/>
    <w:rsid w:val="00FA2EBC"/>
    <w:rsid w:val="00FA301D"/>
    <w:rsid w:val="00FA34D4"/>
    <w:rsid w:val="00FA3597"/>
    <w:rsid w:val="00FA41E3"/>
    <w:rsid w:val="00FA4254"/>
    <w:rsid w:val="00FA4C05"/>
    <w:rsid w:val="00FA4EF7"/>
    <w:rsid w:val="00FA5315"/>
    <w:rsid w:val="00FA5A34"/>
    <w:rsid w:val="00FA5BE8"/>
    <w:rsid w:val="00FA6026"/>
    <w:rsid w:val="00FA61F6"/>
    <w:rsid w:val="00FA6423"/>
    <w:rsid w:val="00FA66A4"/>
    <w:rsid w:val="00FA675E"/>
    <w:rsid w:val="00FA6976"/>
    <w:rsid w:val="00FA6C56"/>
    <w:rsid w:val="00FA7128"/>
    <w:rsid w:val="00FA7268"/>
    <w:rsid w:val="00FA7389"/>
    <w:rsid w:val="00FA7929"/>
    <w:rsid w:val="00FA7AEC"/>
    <w:rsid w:val="00FA7D9C"/>
    <w:rsid w:val="00FA7E57"/>
    <w:rsid w:val="00FA7EEB"/>
    <w:rsid w:val="00FB069A"/>
    <w:rsid w:val="00FB0804"/>
    <w:rsid w:val="00FB09D6"/>
    <w:rsid w:val="00FB0C9C"/>
    <w:rsid w:val="00FB1266"/>
    <w:rsid w:val="00FB1736"/>
    <w:rsid w:val="00FB1DA1"/>
    <w:rsid w:val="00FB1DB9"/>
    <w:rsid w:val="00FB2215"/>
    <w:rsid w:val="00FB2271"/>
    <w:rsid w:val="00FB2BD6"/>
    <w:rsid w:val="00FB2CCC"/>
    <w:rsid w:val="00FB2E05"/>
    <w:rsid w:val="00FB2E26"/>
    <w:rsid w:val="00FB33E8"/>
    <w:rsid w:val="00FB35CD"/>
    <w:rsid w:val="00FB3AA2"/>
    <w:rsid w:val="00FB3E3E"/>
    <w:rsid w:val="00FB4C3F"/>
    <w:rsid w:val="00FB4E8E"/>
    <w:rsid w:val="00FB5486"/>
    <w:rsid w:val="00FB5489"/>
    <w:rsid w:val="00FB563E"/>
    <w:rsid w:val="00FB632F"/>
    <w:rsid w:val="00FB68A7"/>
    <w:rsid w:val="00FB6C61"/>
    <w:rsid w:val="00FB71FB"/>
    <w:rsid w:val="00FB7BB8"/>
    <w:rsid w:val="00FB7FD4"/>
    <w:rsid w:val="00FC0584"/>
    <w:rsid w:val="00FC0605"/>
    <w:rsid w:val="00FC0740"/>
    <w:rsid w:val="00FC08F5"/>
    <w:rsid w:val="00FC1028"/>
    <w:rsid w:val="00FC1466"/>
    <w:rsid w:val="00FC1A82"/>
    <w:rsid w:val="00FC1D1F"/>
    <w:rsid w:val="00FC2222"/>
    <w:rsid w:val="00FC2A96"/>
    <w:rsid w:val="00FC2D03"/>
    <w:rsid w:val="00FC2EA8"/>
    <w:rsid w:val="00FC2F94"/>
    <w:rsid w:val="00FC3031"/>
    <w:rsid w:val="00FC3786"/>
    <w:rsid w:val="00FC37F4"/>
    <w:rsid w:val="00FC3EA0"/>
    <w:rsid w:val="00FC3FF1"/>
    <w:rsid w:val="00FC41F6"/>
    <w:rsid w:val="00FC4688"/>
    <w:rsid w:val="00FC4E7D"/>
    <w:rsid w:val="00FC5031"/>
    <w:rsid w:val="00FC5691"/>
    <w:rsid w:val="00FC56A7"/>
    <w:rsid w:val="00FC58F2"/>
    <w:rsid w:val="00FC5BF8"/>
    <w:rsid w:val="00FC61AD"/>
    <w:rsid w:val="00FC61DE"/>
    <w:rsid w:val="00FC6823"/>
    <w:rsid w:val="00FC707F"/>
    <w:rsid w:val="00FC7686"/>
    <w:rsid w:val="00FC76DA"/>
    <w:rsid w:val="00FC79E1"/>
    <w:rsid w:val="00FC79F7"/>
    <w:rsid w:val="00FC7C09"/>
    <w:rsid w:val="00FD056F"/>
    <w:rsid w:val="00FD05D9"/>
    <w:rsid w:val="00FD07D3"/>
    <w:rsid w:val="00FD0AA4"/>
    <w:rsid w:val="00FD0BBB"/>
    <w:rsid w:val="00FD0CEE"/>
    <w:rsid w:val="00FD121D"/>
    <w:rsid w:val="00FD1506"/>
    <w:rsid w:val="00FD163F"/>
    <w:rsid w:val="00FD180C"/>
    <w:rsid w:val="00FD1DAE"/>
    <w:rsid w:val="00FD2009"/>
    <w:rsid w:val="00FD2278"/>
    <w:rsid w:val="00FD24D0"/>
    <w:rsid w:val="00FD27E6"/>
    <w:rsid w:val="00FD2F00"/>
    <w:rsid w:val="00FD2FF2"/>
    <w:rsid w:val="00FD3179"/>
    <w:rsid w:val="00FD35DF"/>
    <w:rsid w:val="00FD42FD"/>
    <w:rsid w:val="00FD49BE"/>
    <w:rsid w:val="00FD51B7"/>
    <w:rsid w:val="00FD5AF6"/>
    <w:rsid w:val="00FD5E72"/>
    <w:rsid w:val="00FD65BA"/>
    <w:rsid w:val="00FD68CD"/>
    <w:rsid w:val="00FD6BC0"/>
    <w:rsid w:val="00FD6D59"/>
    <w:rsid w:val="00FD7002"/>
    <w:rsid w:val="00FD7710"/>
    <w:rsid w:val="00FD7C3D"/>
    <w:rsid w:val="00FE0643"/>
    <w:rsid w:val="00FE0C4F"/>
    <w:rsid w:val="00FE0D14"/>
    <w:rsid w:val="00FE197B"/>
    <w:rsid w:val="00FE1A47"/>
    <w:rsid w:val="00FE1B24"/>
    <w:rsid w:val="00FE2E9A"/>
    <w:rsid w:val="00FE3171"/>
    <w:rsid w:val="00FE34E4"/>
    <w:rsid w:val="00FE3BAD"/>
    <w:rsid w:val="00FE3E59"/>
    <w:rsid w:val="00FE4081"/>
    <w:rsid w:val="00FE4372"/>
    <w:rsid w:val="00FE4BB6"/>
    <w:rsid w:val="00FE4D0B"/>
    <w:rsid w:val="00FE4DBA"/>
    <w:rsid w:val="00FE4F9B"/>
    <w:rsid w:val="00FE5345"/>
    <w:rsid w:val="00FE553F"/>
    <w:rsid w:val="00FE5AE8"/>
    <w:rsid w:val="00FE5E9F"/>
    <w:rsid w:val="00FE5F9F"/>
    <w:rsid w:val="00FE7090"/>
    <w:rsid w:val="00FE7273"/>
    <w:rsid w:val="00FE7391"/>
    <w:rsid w:val="00FE7DB8"/>
    <w:rsid w:val="00FF0208"/>
    <w:rsid w:val="00FF0333"/>
    <w:rsid w:val="00FF04B9"/>
    <w:rsid w:val="00FF09A2"/>
    <w:rsid w:val="00FF0BD5"/>
    <w:rsid w:val="00FF1378"/>
    <w:rsid w:val="00FF160F"/>
    <w:rsid w:val="00FF24DE"/>
    <w:rsid w:val="00FF2B8E"/>
    <w:rsid w:val="00FF3506"/>
    <w:rsid w:val="00FF37E1"/>
    <w:rsid w:val="00FF39C1"/>
    <w:rsid w:val="00FF3E42"/>
    <w:rsid w:val="00FF4DB4"/>
    <w:rsid w:val="00FF503F"/>
    <w:rsid w:val="00FF5104"/>
    <w:rsid w:val="00FF596C"/>
    <w:rsid w:val="00FF5A1A"/>
    <w:rsid w:val="00FF5BBD"/>
    <w:rsid w:val="00FF5C98"/>
    <w:rsid w:val="00FF5F73"/>
    <w:rsid w:val="00FF624B"/>
    <w:rsid w:val="00FF6310"/>
    <w:rsid w:val="00FF69CA"/>
    <w:rsid w:val="00FF6B98"/>
    <w:rsid w:val="00FF6E64"/>
    <w:rsid w:val="00FF7623"/>
    <w:rsid w:val="00FF76F8"/>
    <w:rsid w:val="00FF7B30"/>
    <w:rsid w:val="00FF7BCC"/>
    <w:rsid w:val="00FF7FCA"/>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691EF"/>
  <w15:docId w15:val="{3D98A53F-5F61-4B62-A335-99F32B03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BFE"/>
    <w:pPr>
      <w:spacing w:after="0" w:line="240" w:lineRule="auto"/>
      <w:jc w:val="both"/>
    </w:pPr>
    <w:rPr>
      <w:rFonts w:ascii="Times New Roman" w:eastAsiaTheme="minorEastAsia" w:hAnsi="Times New Roman"/>
      <w:szCs w:val="24"/>
      <w:lang w:eastAsia="es-ES"/>
    </w:rPr>
  </w:style>
  <w:style w:type="paragraph" w:styleId="Ttulo1">
    <w:name w:val="heading 1"/>
    <w:basedOn w:val="Normal"/>
    <w:next w:val="Normal"/>
    <w:link w:val="Ttulo1Car"/>
    <w:uiPriority w:val="9"/>
    <w:qFormat/>
    <w:rsid w:val="003258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4BA9"/>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C047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64BA9"/>
    <w:rPr>
      <w:rFonts w:asciiTheme="majorHAnsi" w:eastAsiaTheme="majorEastAsia" w:hAnsiTheme="majorHAnsi" w:cstheme="majorBidi"/>
      <w:b/>
      <w:bCs/>
      <w:color w:val="4F81BD" w:themeColor="accent1"/>
      <w:sz w:val="26"/>
      <w:szCs w:val="26"/>
      <w:lang w:val="es-ES_tradnl" w:eastAsia="es-ES"/>
    </w:rPr>
  </w:style>
  <w:style w:type="paragraph" w:styleId="Prrafodelista">
    <w:name w:val="List Paragraph"/>
    <w:basedOn w:val="Normal"/>
    <w:uiPriority w:val="34"/>
    <w:qFormat/>
    <w:rsid w:val="00E97769"/>
    <w:pPr>
      <w:ind w:left="720"/>
      <w:contextualSpacing/>
    </w:pPr>
    <w:rPr>
      <w:rFonts w:eastAsiaTheme="minorHAnsi"/>
      <w:sz w:val="16"/>
      <w:szCs w:val="22"/>
      <w:lang w:eastAsia="en-US"/>
    </w:rPr>
  </w:style>
  <w:style w:type="paragraph" w:customStyle="1" w:styleId="Default">
    <w:name w:val="Default"/>
    <w:rsid w:val="00D43598"/>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D4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68CD"/>
    <w:pPr>
      <w:spacing w:before="100" w:beforeAutospacing="1" w:after="100" w:afterAutospacing="1"/>
    </w:pPr>
    <w:rPr>
      <w:rFonts w:cs="Times New Roman"/>
      <w:lang w:eastAsia="es-GT"/>
    </w:rPr>
  </w:style>
  <w:style w:type="paragraph" w:styleId="Textonotapie">
    <w:name w:val="footnote text"/>
    <w:basedOn w:val="Normal"/>
    <w:link w:val="TextonotapieCar"/>
    <w:uiPriority w:val="99"/>
    <w:semiHidden/>
    <w:unhideWhenUsed/>
    <w:rsid w:val="000B5E1C"/>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0B5E1C"/>
    <w:rPr>
      <w:sz w:val="20"/>
      <w:szCs w:val="20"/>
    </w:rPr>
  </w:style>
  <w:style w:type="character" w:styleId="Refdenotaalpie">
    <w:name w:val="footnote reference"/>
    <w:basedOn w:val="Fuentedeprrafopredeter"/>
    <w:uiPriority w:val="99"/>
    <w:semiHidden/>
    <w:unhideWhenUsed/>
    <w:rsid w:val="000B5E1C"/>
    <w:rPr>
      <w:vertAlign w:val="superscript"/>
    </w:rPr>
  </w:style>
  <w:style w:type="table" w:styleId="Cuadrculaclara-nfasis1">
    <w:name w:val="Light Grid Accent 1"/>
    <w:basedOn w:val="Tablanormal"/>
    <w:uiPriority w:val="62"/>
    <w:rsid w:val="000B5E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0B5E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link w:val="SinespaciadoCar"/>
    <w:uiPriority w:val="1"/>
    <w:qFormat/>
    <w:rsid w:val="000B5E1C"/>
    <w:pPr>
      <w:spacing w:after="0" w:line="240" w:lineRule="auto"/>
    </w:pPr>
  </w:style>
  <w:style w:type="character" w:customStyle="1" w:styleId="SinespaciadoCar">
    <w:name w:val="Sin espaciado Car"/>
    <w:basedOn w:val="Fuentedeprrafopredeter"/>
    <w:link w:val="Sinespaciado"/>
    <w:uiPriority w:val="1"/>
    <w:locked/>
    <w:rsid w:val="000B5E1C"/>
  </w:style>
  <w:style w:type="paragraph" w:styleId="Ttulo">
    <w:name w:val="Title"/>
    <w:basedOn w:val="Normal"/>
    <w:next w:val="Normal"/>
    <w:link w:val="TtuloCar"/>
    <w:uiPriority w:val="10"/>
    <w:qFormat/>
    <w:rsid w:val="003258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s-GT"/>
    </w:rPr>
  </w:style>
  <w:style w:type="character" w:customStyle="1" w:styleId="TtuloCar">
    <w:name w:val="Título Car"/>
    <w:basedOn w:val="Fuentedeprrafopredeter"/>
    <w:link w:val="Ttulo"/>
    <w:uiPriority w:val="10"/>
    <w:rsid w:val="0032588B"/>
    <w:rPr>
      <w:rFonts w:asciiTheme="majorHAnsi" w:eastAsiaTheme="majorEastAsia" w:hAnsiTheme="majorHAnsi" w:cstheme="majorBidi"/>
      <w:color w:val="17365D" w:themeColor="text2" w:themeShade="BF"/>
      <w:spacing w:val="5"/>
      <w:kern w:val="28"/>
      <w:sz w:val="52"/>
      <w:szCs w:val="52"/>
      <w:lang w:eastAsia="es-GT"/>
    </w:rPr>
  </w:style>
  <w:style w:type="paragraph" w:styleId="Subttulo">
    <w:name w:val="Subtitle"/>
    <w:basedOn w:val="Normal"/>
    <w:next w:val="Normal"/>
    <w:link w:val="SubttuloCar"/>
    <w:uiPriority w:val="11"/>
    <w:qFormat/>
    <w:rsid w:val="0032588B"/>
    <w:pPr>
      <w:numPr>
        <w:ilvl w:val="1"/>
      </w:numPr>
      <w:spacing w:after="200" w:line="276" w:lineRule="auto"/>
    </w:pPr>
    <w:rPr>
      <w:rFonts w:asciiTheme="majorHAnsi" w:eastAsiaTheme="majorEastAsia" w:hAnsiTheme="majorHAnsi" w:cstheme="majorBidi"/>
      <w:i/>
      <w:iCs/>
      <w:color w:val="4F81BD" w:themeColor="accent1"/>
      <w:spacing w:val="15"/>
      <w:lang w:eastAsia="es-GT"/>
    </w:rPr>
  </w:style>
  <w:style w:type="character" w:customStyle="1" w:styleId="SubttuloCar">
    <w:name w:val="Subtítulo Car"/>
    <w:basedOn w:val="Fuentedeprrafopredeter"/>
    <w:link w:val="Subttulo"/>
    <w:uiPriority w:val="11"/>
    <w:rsid w:val="0032588B"/>
    <w:rPr>
      <w:rFonts w:asciiTheme="majorHAnsi" w:eastAsiaTheme="majorEastAsia" w:hAnsiTheme="majorHAnsi" w:cstheme="majorBidi"/>
      <w:i/>
      <w:iCs/>
      <w:color w:val="4F81BD" w:themeColor="accent1"/>
      <w:spacing w:val="15"/>
      <w:sz w:val="24"/>
      <w:szCs w:val="24"/>
      <w:lang w:eastAsia="es-GT"/>
    </w:rPr>
  </w:style>
  <w:style w:type="character" w:customStyle="1" w:styleId="Ttulo1Car">
    <w:name w:val="Título 1 Car"/>
    <w:basedOn w:val="Fuentedeprrafopredeter"/>
    <w:link w:val="Ttulo1"/>
    <w:uiPriority w:val="9"/>
    <w:rsid w:val="0032588B"/>
    <w:rPr>
      <w:rFonts w:asciiTheme="majorHAnsi" w:eastAsiaTheme="majorEastAsia" w:hAnsiTheme="majorHAnsi" w:cstheme="majorBidi"/>
      <w:b/>
      <w:bCs/>
      <w:color w:val="365F91" w:themeColor="accent1" w:themeShade="BF"/>
      <w:sz w:val="28"/>
      <w:szCs w:val="28"/>
      <w:lang w:val="es-ES_tradnl" w:eastAsia="es-ES"/>
    </w:rPr>
  </w:style>
  <w:style w:type="paragraph" w:styleId="TtuloTDC">
    <w:name w:val="TOC Heading"/>
    <w:basedOn w:val="Ttulo1"/>
    <w:next w:val="Normal"/>
    <w:uiPriority w:val="39"/>
    <w:semiHidden/>
    <w:unhideWhenUsed/>
    <w:qFormat/>
    <w:rsid w:val="0032588B"/>
    <w:pPr>
      <w:spacing w:line="276" w:lineRule="auto"/>
      <w:outlineLvl w:val="9"/>
    </w:pPr>
    <w:rPr>
      <w:lang w:eastAsia="es-GT"/>
    </w:rPr>
  </w:style>
  <w:style w:type="paragraph" w:styleId="TDC1">
    <w:name w:val="toc 1"/>
    <w:basedOn w:val="Normal"/>
    <w:next w:val="Normal"/>
    <w:autoRedefine/>
    <w:uiPriority w:val="39"/>
    <w:unhideWhenUsed/>
    <w:rsid w:val="00594050"/>
    <w:pPr>
      <w:tabs>
        <w:tab w:val="left" w:pos="440"/>
        <w:tab w:val="right" w:leader="dot" w:pos="9394"/>
      </w:tabs>
      <w:spacing w:after="100"/>
    </w:pPr>
    <w:rPr>
      <w:rFonts w:eastAsiaTheme="majorEastAsia" w:cs="Times New Roman"/>
      <w:b/>
      <w:bCs/>
      <w:noProof/>
    </w:rPr>
  </w:style>
  <w:style w:type="paragraph" w:styleId="TDC2">
    <w:name w:val="toc 2"/>
    <w:basedOn w:val="Normal"/>
    <w:next w:val="Normal"/>
    <w:autoRedefine/>
    <w:uiPriority w:val="39"/>
    <w:unhideWhenUsed/>
    <w:rsid w:val="0054409D"/>
    <w:pPr>
      <w:tabs>
        <w:tab w:val="left" w:pos="880"/>
        <w:tab w:val="right" w:leader="dot" w:pos="9356"/>
      </w:tabs>
      <w:spacing w:after="100"/>
      <w:ind w:left="709" w:hanging="567"/>
    </w:pPr>
  </w:style>
  <w:style w:type="character" w:styleId="Hipervnculo">
    <w:name w:val="Hyperlink"/>
    <w:basedOn w:val="Fuentedeprrafopredeter"/>
    <w:uiPriority w:val="99"/>
    <w:unhideWhenUsed/>
    <w:rsid w:val="0032588B"/>
    <w:rPr>
      <w:color w:val="0000FF" w:themeColor="hyperlink"/>
      <w:u w:val="single"/>
    </w:rPr>
  </w:style>
  <w:style w:type="paragraph" w:styleId="Encabezado">
    <w:name w:val="header"/>
    <w:basedOn w:val="Normal"/>
    <w:link w:val="EncabezadoCar"/>
    <w:uiPriority w:val="99"/>
    <w:unhideWhenUsed/>
    <w:rsid w:val="00AC45C7"/>
    <w:pPr>
      <w:tabs>
        <w:tab w:val="center" w:pos="4419"/>
        <w:tab w:val="right" w:pos="8838"/>
      </w:tabs>
    </w:pPr>
  </w:style>
  <w:style w:type="character" w:customStyle="1" w:styleId="EncabezadoCar">
    <w:name w:val="Encabezado Car"/>
    <w:basedOn w:val="Fuentedeprrafopredeter"/>
    <w:link w:val="Encabezado"/>
    <w:uiPriority w:val="99"/>
    <w:rsid w:val="00AC45C7"/>
    <w:rPr>
      <w:rFonts w:eastAsiaTheme="minorEastAsia"/>
      <w:sz w:val="24"/>
      <w:szCs w:val="24"/>
      <w:lang w:val="es-ES_tradnl" w:eastAsia="es-ES"/>
    </w:rPr>
  </w:style>
  <w:style w:type="paragraph" w:styleId="Piedepgina">
    <w:name w:val="footer"/>
    <w:basedOn w:val="Normal"/>
    <w:link w:val="PiedepginaCar"/>
    <w:uiPriority w:val="99"/>
    <w:unhideWhenUsed/>
    <w:rsid w:val="00AC45C7"/>
    <w:pPr>
      <w:tabs>
        <w:tab w:val="center" w:pos="4419"/>
        <w:tab w:val="right" w:pos="8838"/>
      </w:tabs>
    </w:pPr>
  </w:style>
  <w:style w:type="character" w:customStyle="1" w:styleId="PiedepginaCar">
    <w:name w:val="Pie de página Car"/>
    <w:basedOn w:val="Fuentedeprrafopredeter"/>
    <w:link w:val="Piedepgina"/>
    <w:uiPriority w:val="99"/>
    <w:rsid w:val="00AC45C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2B7931"/>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931"/>
    <w:rPr>
      <w:rFonts w:ascii="Tahoma" w:eastAsiaTheme="minorEastAsia" w:hAnsi="Tahoma" w:cs="Tahoma"/>
      <w:sz w:val="16"/>
      <w:szCs w:val="16"/>
      <w:lang w:val="es-ES_tradnl" w:eastAsia="es-ES"/>
    </w:rPr>
  </w:style>
  <w:style w:type="character" w:customStyle="1" w:styleId="Ttulo3Car">
    <w:name w:val="Título 3 Car"/>
    <w:basedOn w:val="Fuentedeprrafopredeter"/>
    <w:link w:val="Ttulo3"/>
    <w:uiPriority w:val="9"/>
    <w:semiHidden/>
    <w:rsid w:val="000C0470"/>
    <w:rPr>
      <w:rFonts w:asciiTheme="majorHAnsi" w:eastAsiaTheme="majorEastAsia" w:hAnsiTheme="majorHAnsi" w:cstheme="majorBidi"/>
      <w:color w:val="243F60" w:themeColor="accent1" w:themeShade="7F"/>
      <w:sz w:val="24"/>
      <w:szCs w:val="24"/>
      <w:lang w:val="es-ES_tradnl" w:eastAsia="es-ES"/>
    </w:rPr>
  </w:style>
  <w:style w:type="paragraph" w:customStyle="1" w:styleId="Ttulo11">
    <w:name w:val="Título 11"/>
    <w:basedOn w:val="Normal"/>
    <w:rsid w:val="000C0470"/>
    <w:pPr>
      <w:numPr>
        <w:numId w:val="23"/>
      </w:numPr>
    </w:pPr>
  </w:style>
  <w:style w:type="paragraph" w:customStyle="1" w:styleId="Ttulo21">
    <w:name w:val="Título 21"/>
    <w:basedOn w:val="Normal"/>
    <w:rsid w:val="000C0470"/>
    <w:pPr>
      <w:numPr>
        <w:ilvl w:val="1"/>
        <w:numId w:val="23"/>
      </w:numPr>
    </w:pPr>
  </w:style>
  <w:style w:type="paragraph" w:customStyle="1" w:styleId="Ttulo31">
    <w:name w:val="Título 31"/>
    <w:basedOn w:val="Normal"/>
    <w:rsid w:val="000C0470"/>
    <w:pPr>
      <w:numPr>
        <w:ilvl w:val="2"/>
        <w:numId w:val="23"/>
      </w:numPr>
    </w:pPr>
  </w:style>
  <w:style w:type="paragraph" w:customStyle="1" w:styleId="Ttulo41">
    <w:name w:val="Título 41"/>
    <w:basedOn w:val="Normal"/>
    <w:rsid w:val="000C0470"/>
    <w:pPr>
      <w:numPr>
        <w:ilvl w:val="3"/>
        <w:numId w:val="23"/>
      </w:numPr>
    </w:pPr>
  </w:style>
  <w:style w:type="paragraph" w:customStyle="1" w:styleId="Ttulo51">
    <w:name w:val="Título 51"/>
    <w:basedOn w:val="Normal"/>
    <w:rsid w:val="000C0470"/>
    <w:pPr>
      <w:numPr>
        <w:ilvl w:val="4"/>
        <w:numId w:val="23"/>
      </w:numPr>
    </w:pPr>
  </w:style>
  <w:style w:type="paragraph" w:customStyle="1" w:styleId="Ttulo61">
    <w:name w:val="Título 61"/>
    <w:basedOn w:val="Normal"/>
    <w:rsid w:val="000C0470"/>
    <w:pPr>
      <w:numPr>
        <w:ilvl w:val="5"/>
        <w:numId w:val="23"/>
      </w:numPr>
    </w:pPr>
  </w:style>
  <w:style w:type="paragraph" w:customStyle="1" w:styleId="Ttulo71">
    <w:name w:val="Título 71"/>
    <w:basedOn w:val="Normal"/>
    <w:rsid w:val="000C0470"/>
    <w:pPr>
      <w:numPr>
        <w:ilvl w:val="6"/>
        <w:numId w:val="23"/>
      </w:numPr>
    </w:pPr>
  </w:style>
  <w:style w:type="paragraph" w:customStyle="1" w:styleId="Ttulo81">
    <w:name w:val="Título 81"/>
    <w:basedOn w:val="Normal"/>
    <w:rsid w:val="000C0470"/>
    <w:pPr>
      <w:numPr>
        <w:ilvl w:val="7"/>
        <w:numId w:val="23"/>
      </w:numPr>
    </w:pPr>
  </w:style>
  <w:style w:type="paragraph" w:customStyle="1" w:styleId="Ttulo91">
    <w:name w:val="Título 91"/>
    <w:basedOn w:val="Normal"/>
    <w:rsid w:val="000C0470"/>
    <w:pPr>
      <w:numPr>
        <w:ilvl w:val="8"/>
        <w:numId w:val="23"/>
      </w:numPr>
    </w:pPr>
  </w:style>
  <w:style w:type="paragraph" w:styleId="TDC3">
    <w:name w:val="toc 3"/>
    <w:basedOn w:val="Normal"/>
    <w:next w:val="Normal"/>
    <w:autoRedefine/>
    <w:uiPriority w:val="39"/>
    <w:unhideWhenUsed/>
    <w:rsid w:val="0054409D"/>
    <w:pPr>
      <w:tabs>
        <w:tab w:val="left" w:pos="1134"/>
        <w:tab w:val="right" w:leader="dot" w:pos="9394"/>
      </w:tabs>
      <w:spacing w:after="100"/>
      <w:ind w:left="1134" w:hanging="708"/>
    </w:pPr>
  </w:style>
  <w:style w:type="paragraph" w:customStyle="1" w:styleId="BodyText2Sgl">
    <w:name w:val="Body Text 2 Sgl"/>
    <w:basedOn w:val="Normal"/>
    <w:qFormat/>
    <w:rsid w:val="00EE52DF"/>
    <w:pPr>
      <w:spacing w:after="240"/>
      <w:ind w:firstLine="720"/>
    </w:pPr>
    <w:rPr>
      <w:rFonts w:eastAsiaTheme="minorHAnsi"/>
      <w:sz w:val="20"/>
      <w:lang w:val="en-US" w:eastAsia="en-US"/>
    </w:rPr>
  </w:style>
  <w:style w:type="paragraph" w:styleId="Textoindependiente">
    <w:name w:val="Body Text"/>
    <w:basedOn w:val="Normal"/>
    <w:link w:val="TextoindependienteCar"/>
    <w:uiPriority w:val="99"/>
    <w:unhideWhenUsed/>
    <w:rsid w:val="00EE52DF"/>
    <w:pPr>
      <w:spacing w:after="120" w:line="259" w:lineRule="auto"/>
    </w:pPr>
    <w:rPr>
      <w:rFonts w:eastAsiaTheme="minorHAnsi"/>
      <w:szCs w:val="22"/>
      <w:lang w:eastAsia="en-US"/>
    </w:rPr>
  </w:style>
  <w:style w:type="character" w:customStyle="1" w:styleId="TextoindependienteCar">
    <w:name w:val="Texto independiente Car"/>
    <w:basedOn w:val="Fuentedeprrafopredeter"/>
    <w:link w:val="Textoindependiente"/>
    <w:uiPriority w:val="99"/>
    <w:rsid w:val="00EE52DF"/>
  </w:style>
  <w:style w:type="character" w:styleId="Refdecomentario">
    <w:name w:val="annotation reference"/>
    <w:basedOn w:val="Fuentedeprrafopredeter"/>
    <w:uiPriority w:val="99"/>
    <w:semiHidden/>
    <w:unhideWhenUsed/>
    <w:rsid w:val="00082E65"/>
    <w:rPr>
      <w:sz w:val="16"/>
      <w:szCs w:val="16"/>
    </w:rPr>
  </w:style>
  <w:style w:type="paragraph" w:styleId="Textocomentario">
    <w:name w:val="annotation text"/>
    <w:basedOn w:val="Normal"/>
    <w:link w:val="TextocomentarioCar"/>
    <w:uiPriority w:val="99"/>
    <w:unhideWhenUsed/>
    <w:rsid w:val="00082E65"/>
    <w:rPr>
      <w:sz w:val="20"/>
      <w:szCs w:val="20"/>
    </w:rPr>
  </w:style>
  <w:style w:type="character" w:customStyle="1" w:styleId="TextocomentarioCar">
    <w:name w:val="Texto comentario Car"/>
    <w:basedOn w:val="Fuentedeprrafopredeter"/>
    <w:link w:val="Textocomentario"/>
    <w:uiPriority w:val="99"/>
    <w:rsid w:val="00082E6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082E65"/>
    <w:rPr>
      <w:b/>
      <w:bCs/>
    </w:rPr>
  </w:style>
  <w:style w:type="character" w:customStyle="1" w:styleId="AsuntodelcomentarioCar">
    <w:name w:val="Asunto del comentario Car"/>
    <w:basedOn w:val="TextocomentarioCar"/>
    <w:link w:val="Asuntodelcomentario"/>
    <w:uiPriority w:val="99"/>
    <w:semiHidden/>
    <w:rsid w:val="00082E65"/>
    <w:rPr>
      <w:rFonts w:eastAsiaTheme="minorEastAsia"/>
      <w:b/>
      <w:bCs/>
      <w:sz w:val="20"/>
      <w:szCs w:val="20"/>
      <w:lang w:val="es-ES_tradnl" w:eastAsia="es-ES"/>
    </w:rPr>
  </w:style>
  <w:style w:type="paragraph" w:styleId="Revisin">
    <w:name w:val="Revision"/>
    <w:hidden/>
    <w:uiPriority w:val="99"/>
    <w:semiHidden/>
    <w:rsid w:val="0054409D"/>
    <w:pPr>
      <w:spacing w:after="0" w:line="240" w:lineRule="auto"/>
    </w:pPr>
    <w:rPr>
      <w:rFonts w:eastAsiaTheme="minorEastAsia"/>
      <w:sz w:val="24"/>
      <w:szCs w:val="24"/>
      <w:lang w:val="es-ES_tradnl" w:eastAsia="es-ES"/>
    </w:rPr>
  </w:style>
  <w:style w:type="table" w:styleId="Tablanormal3">
    <w:name w:val="Plain Table 3"/>
    <w:basedOn w:val="Tablanormal"/>
    <w:uiPriority w:val="43"/>
    <w:rsid w:val="00FD31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1">
    <w:name w:val="List Table 7 Colorful Accent 1"/>
    <w:basedOn w:val="Tablanormal"/>
    <w:uiPriority w:val="52"/>
    <w:rsid w:val="00FD317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9B0F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78699">
      <w:bodyDiv w:val="1"/>
      <w:marLeft w:val="0"/>
      <w:marRight w:val="0"/>
      <w:marTop w:val="0"/>
      <w:marBottom w:val="0"/>
      <w:divBdr>
        <w:top w:val="none" w:sz="0" w:space="0" w:color="auto"/>
        <w:left w:val="none" w:sz="0" w:space="0" w:color="auto"/>
        <w:bottom w:val="none" w:sz="0" w:space="0" w:color="auto"/>
        <w:right w:val="none" w:sz="0" w:space="0" w:color="auto"/>
      </w:divBdr>
    </w:div>
    <w:div w:id="65929884">
      <w:bodyDiv w:val="1"/>
      <w:marLeft w:val="0"/>
      <w:marRight w:val="0"/>
      <w:marTop w:val="0"/>
      <w:marBottom w:val="0"/>
      <w:divBdr>
        <w:top w:val="none" w:sz="0" w:space="0" w:color="auto"/>
        <w:left w:val="none" w:sz="0" w:space="0" w:color="auto"/>
        <w:bottom w:val="none" w:sz="0" w:space="0" w:color="auto"/>
        <w:right w:val="none" w:sz="0" w:space="0" w:color="auto"/>
      </w:divBdr>
    </w:div>
    <w:div w:id="206840615">
      <w:bodyDiv w:val="1"/>
      <w:marLeft w:val="0"/>
      <w:marRight w:val="0"/>
      <w:marTop w:val="0"/>
      <w:marBottom w:val="0"/>
      <w:divBdr>
        <w:top w:val="none" w:sz="0" w:space="0" w:color="auto"/>
        <w:left w:val="none" w:sz="0" w:space="0" w:color="auto"/>
        <w:bottom w:val="none" w:sz="0" w:space="0" w:color="auto"/>
        <w:right w:val="none" w:sz="0" w:space="0" w:color="auto"/>
      </w:divBdr>
    </w:div>
    <w:div w:id="208031668">
      <w:bodyDiv w:val="1"/>
      <w:marLeft w:val="0"/>
      <w:marRight w:val="0"/>
      <w:marTop w:val="0"/>
      <w:marBottom w:val="0"/>
      <w:divBdr>
        <w:top w:val="none" w:sz="0" w:space="0" w:color="auto"/>
        <w:left w:val="none" w:sz="0" w:space="0" w:color="auto"/>
        <w:bottom w:val="none" w:sz="0" w:space="0" w:color="auto"/>
        <w:right w:val="none" w:sz="0" w:space="0" w:color="auto"/>
      </w:divBdr>
    </w:div>
    <w:div w:id="281689898">
      <w:bodyDiv w:val="1"/>
      <w:marLeft w:val="0"/>
      <w:marRight w:val="0"/>
      <w:marTop w:val="0"/>
      <w:marBottom w:val="0"/>
      <w:divBdr>
        <w:top w:val="none" w:sz="0" w:space="0" w:color="auto"/>
        <w:left w:val="none" w:sz="0" w:space="0" w:color="auto"/>
        <w:bottom w:val="none" w:sz="0" w:space="0" w:color="auto"/>
        <w:right w:val="none" w:sz="0" w:space="0" w:color="auto"/>
      </w:divBdr>
    </w:div>
    <w:div w:id="289480549">
      <w:bodyDiv w:val="1"/>
      <w:marLeft w:val="0"/>
      <w:marRight w:val="0"/>
      <w:marTop w:val="0"/>
      <w:marBottom w:val="0"/>
      <w:divBdr>
        <w:top w:val="none" w:sz="0" w:space="0" w:color="auto"/>
        <w:left w:val="none" w:sz="0" w:space="0" w:color="auto"/>
        <w:bottom w:val="none" w:sz="0" w:space="0" w:color="auto"/>
        <w:right w:val="none" w:sz="0" w:space="0" w:color="auto"/>
      </w:divBdr>
    </w:div>
    <w:div w:id="310988100">
      <w:bodyDiv w:val="1"/>
      <w:marLeft w:val="0"/>
      <w:marRight w:val="0"/>
      <w:marTop w:val="0"/>
      <w:marBottom w:val="0"/>
      <w:divBdr>
        <w:top w:val="none" w:sz="0" w:space="0" w:color="auto"/>
        <w:left w:val="none" w:sz="0" w:space="0" w:color="auto"/>
        <w:bottom w:val="none" w:sz="0" w:space="0" w:color="auto"/>
        <w:right w:val="none" w:sz="0" w:space="0" w:color="auto"/>
      </w:divBdr>
    </w:div>
    <w:div w:id="352264132">
      <w:bodyDiv w:val="1"/>
      <w:marLeft w:val="0"/>
      <w:marRight w:val="0"/>
      <w:marTop w:val="0"/>
      <w:marBottom w:val="0"/>
      <w:divBdr>
        <w:top w:val="none" w:sz="0" w:space="0" w:color="auto"/>
        <w:left w:val="none" w:sz="0" w:space="0" w:color="auto"/>
        <w:bottom w:val="none" w:sz="0" w:space="0" w:color="auto"/>
        <w:right w:val="none" w:sz="0" w:space="0" w:color="auto"/>
      </w:divBdr>
    </w:div>
    <w:div w:id="411515506">
      <w:bodyDiv w:val="1"/>
      <w:marLeft w:val="0"/>
      <w:marRight w:val="0"/>
      <w:marTop w:val="0"/>
      <w:marBottom w:val="0"/>
      <w:divBdr>
        <w:top w:val="none" w:sz="0" w:space="0" w:color="auto"/>
        <w:left w:val="none" w:sz="0" w:space="0" w:color="auto"/>
        <w:bottom w:val="none" w:sz="0" w:space="0" w:color="auto"/>
        <w:right w:val="none" w:sz="0" w:space="0" w:color="auto"/>
      </w:divBdr>
    </w:div>
    <w:div w:id="447234801">
      <w:bodyDiv w:val="1"/>
      <w:marLeft w:val="0"/>
      <w:marRight w:val="0"/>
      <w:marTop w:val="0"/>
      <w:marBottom w:val="0"/>
      <w:divBdr>
        <w:top w:val="none" w:sz="0" w:space="0" w:color="auto"/>
        <w:left w:val="none" w:sz="0" w:space="0" w:color="auto"/>
        <w:bottom w:val="none" w:sz="0" w:space="0" w:color="auto"/>
        <w:right w:val="none" w:sz="0" w:space="0" w:color="auto"/>
      </w:divBdr>
    </w:div>
    <w:div w:id="447435137">
      <w:bodyDiv w:val="1"/>
      <w:marLeft w:val="0"/>
      <w:marRight w:val="0"/>
      <w:marTop w:val="0"/>
      <w:marBottom w:val="0"/>
      <w:divBdr>
        <w:top w:val="none" w:sz="0" w:space="0" w:color="auto"/>
        <w:left w:val="none" w:sz="0" w:space="0" w:color="auto"/>
        <w:bottom w:val="none" w:sz="0" w:space="0" w:color="auto"/>
        <w:right w:val="none" w:sz="0" w:space="0" w:color="auto"/>
      </w:divBdr>
    </w:div>
    <w:div w:id="448207660">
      <w:bodyDiv w:val="1"/>
      <w:marLeft w:val="0"/>
      <w:marRight w:val="0"/>
      <w:marTop w:val="0"/>
      <w:marBottom w:val="0"/>
      <w:divBdr>
        <w:top w:val="none" w:sz="0" w:space="0" w:color="auto"/>
        <w:left w:val="none" w:sz="0" w:space="0" w:color="auto"/>
        <w:bottom w:val="none" w:sz="0" w:space="0" w:color="auto"/>
        <w:right w:val="none" w:sz="0" w:space="0" w:color="auto"/>
      </w:divBdr>
    </w:div>
    <w:div w:id="452797015">
      <w:bodyDiv w:val="1"/>
      <w:marLeft w:val="0"/>
      <w:marRight w:val="0"/>
      <w:marTop w:val="0"/>
      <w:marBottom w:val="0"/>
      <w:divBdr>
        <w:top w:val="none" w:sz="0" w:space="0" w:color="auto"/>
        <w:left w:val="none" w:sz="0" w:space="0" w:color="auto"/>
        <w:bottom w:val="none" w:sz="0" w:space="0" w:color="auto"/>
        <w:right w:val="none" w:sz="0" w:space="0" w:color="auto"/>
      </w:divBdr>
    </w:div>
    <w:div w:id="486481220">
      <w:bodyDiv w:val="1"/>
      <w:marLeft w:val="0"/>
      <w:marRight w:val="0"/>
      <w:marTop w:val="0"/>
      <w:marBottom w:val="0"/>
      <w:divBdr>
        <w:top w:val="none" w:sz="0" w:space="0" w:color="auto"/>
        <w:left w:val="none" w:sz="0" w:space="0" w:color="auto"/>
        <w:bottom w:val="none" w:sz="0" w:space="0" w:color="auto"/>
        <w:right w:val="none" w:sz="0" w:space="0" w:color="auto"/>
      </w:divBdr>
    </w:div>
    <w:div w:id="493037860">
      <w:bodyDiv w:val="1"/>
      <w:marLeft w:val="0"/>
      <w:marRight w:val="0"/>
      <w:marTop w:val="0"/>
      <w:marBottom w:val="0"/>
      <w:divBdr>
        <w:top w:val="none" w:sz="0" w:space="0" w:color="auto"/>
        <w:left w:val="none" w:sz="0" w:space="0" w:color="auto"/>
        <w:bottom w:val="none" w:sz="0" w:space="0" w:color="auto"/>
        <w:right w:val="none" w:sz="0" w:space="0" w:color="auto"/>
      </w:divBdr>
    </w:div>
    <w:div w:id="551356417">
      <w:bodyDiv w:val="1"/>
      <w:marLeft w:val="0"/>
      <w:marRight w:val="0"/>
      <w:marTop w:val="0"/>
      <w:marBottom w:val="0"/>
      <w:divBdr>
        <w:top w:val="none" w:sz="0" w:space="0" w:color="auto"/>
        <w:left w:val="none" w:sz="0" w:space="0" w:color="auto"/>
        <w:bottom w:val="none" w:sz="0" w:space="0" w:color="auto"/>
        <w:right w:val="none" w:sz="0" w:space="0" w:color="auto"/>
      </w:divBdr>
    </w:div>
    <w:div w:id="641885873">
      <w:bodyDiv w:val="1"/>
      <w:marLeft w:val="0"/>
      <w:marRight w:val="0"/>
      <w:marTop w:val="0"/>
      <w:marBottom w:val="0"/>
      <w:divBdr>
        <w:top w:val="none" w:sz="0" w:space="0" w:color="auto"/>
        <w:left w:val="none" w:sz="0" w:space="0" w:color="auto"/>
        <w:bottom w:val="none" w:sz="0" w:space="0" w:color="auto"/>
        <w:right w:val="none" w:sz="0" w:space="0" w:color="auto"/>
      </w:divBdr>
    </w:div>
    <w:div w:id="672680472">
      <w:bodyDiv w:val="1"/>
      <w:marLeft w:val="0"/>
      <w:marRight w:val="0"/>
      <w:marTop w:val="0"/>
      <w:marBottom w:val="0"/>
      <w:divBdr>
        <w:top w:val="none" w:sz="0" w:space="0" w:color="auto"/>
        <w:left w:val="none" w:sz="0" w:space="0" w:color="auto"/>
        <w:bottom w:val="none" w:sz="0" w:space="0" w:color="auto"/>
        <w:right w:val="none" w:sz="0" w:space="0" w:color="auto"/>
      </w:divBdr>
    </w:div>
    <w:div w:id="694312612">
      <w:bodyDiv w:val="1"/>
      <w:marLeft w:val="0"/>
      <w:marRight w:val="0"/>
      <w:marTop w:val="0"/>
      <w:marBottom w:val="0"/>
      <w:divBdr>
        <w:top w:val="none" w:sz="0" w:space="0" w:color="auto"/>
        <w:left w:val="none" w:sz="0" w:space="0" w:color="auto"/>
        <w:bottom w:val="none" w:sz="0" w:space="0" w:color="auto"/>
        <w:right w:val="none" w:sz="0" w:space="0" w:color="auto"/>
      </w:divBdr>
    </w:div>
    <w:div w:id="711147682">
      <w:bodyDiv w:val="1"/>
      <w:marLeft w:val="0"/>
      <w:marRight w:val="0"/>
      <w:marTop w:val="0"/>
      <w:marBottom w:val="0"/>
      <w:divBdr>
        <w:top w:val="none" w:sz="0" w:space="0" w:color="auto"/>
        <w:left w:val="none" w:sz="0" w:space="0" w:color="auto"/>
        <w:bottom w:val="none" w:sz="0" w:space="0" w:color="auto"/>
        <w:right w:val="none" w:sz="0" w:space="0" w:color="auto"/>
      </w:divBdr>
    </w:div>
    <w:div w:id="767505616">
      <w:bodyDiv w:val="1"/>
      <w:marLeft w:val="0"/>
      <w:marRight w:val="0"/>
      <w:marTop w:val="0"/>
      <w:marBottom w:val="0"/>
      <w:divBdr>
        <w:top w:val="none" w:sz="0" w:space="0" w:color="auto"/>
        <w:left w:val="none" w:sz="0" w:space="0" w:color="auto"/>
        <w:bottom w:val="none" w:sz="0" w:space="0" w:color="auto"/>
        <w:right w:val="none" w:sz="0" w:space="0" w:color="auto"/>
      </w:divBdr>
    </w:div>
    <w:div w:id="768620205">
      <w:bodyDiv w:val="1"/>
      <w:marLeft w:val="0"/>
      <w:marRight w:val="0"/>
      <w:marTop w:val="0"/>
      <w:marBottom w:val="0"/>
      <w:divBdr>
        <w:top w:val="none" w:sz="0" w:space="0" w:color="auto"/>
        <w:left w:val="none" w:sz="0" w:space="0" w:color="auto"/>
        <w:bottom w:val="none" w:sz="0" w:space="0" w:color="auto"/>
        <w:right w:val="none" w:sz="0" w:space="0" w:color="auto"/>
      </w:divBdr>
    </w:div>
    <w:div w:id="773591794">
      <w:bodyDiv w:val="1"/>
      <w:marLeft w:val="0"/>
      <w:marRight w:val="0"/>
      <w:marTop w:val="0"/>
      <w:marBottom w:val="0"/>
      <w:divBdr>
        <w:top w:val="none" w:sz="0" w:space="0" w:color="auto"/>
        <w:left w:val="none" w:sz="0" w:space="0" w:color="auto"/>
        <w:bottom w:val="none" w:sz="0" w:space="0" w:color="auto"/>
        <w:right w:val="none" w:sz="0" w:space="0" w:color="auto"/>
      </w:divBdr>
    </w:div>
    <w:div w:id="777871340">
      <w:bodyDiv w:val="1"/>
      <w:marLeft w:val="0"/>
      <w:marRight w:val="0"/>
      <w:marTop w:val="0"/>
      <w:marBottom w:val="0"/>
      <w:divBdr>
        <w:top w:val="none" w:sz="0" w:space="0" w:color="auto"/>
        <w:left w:val="none" w:sz="0" w:space="0" w:color="auto"/>
        <w:bottom w:val="none" w:sz="0" w:space="0" w:color="auto"/>
        <w:right w:val="none" w:sz="0" w:space="0" w:color="auto"/>
      </w:divBdr>
    </w:div>
    <w:div w:id="800881172">
      <w:bodyDiv w:val="1"/>
      <w:marLeft w:val="0"/>
      <w:marRight w:val="0"/>
      <w:marTop w:val="0"/>
      <w:marBottom w:val="0"/>
      <w:divBdr>
        <w:top w:val="none" w:sz="0" w:space="0" w:color="auto"/>
        <w:left w:val="none" w:sz="0" w:space="0" w:color="auto"/>
        <w:bottom w:val="none" w:sz="0" w:space="0" w:color="auto"/>
        <w:right w:val="none" w:sz="0" w:space="0" w:color="auto"/>
      </w:divBdr>
    </w:div>
    <w:div w:id="856696186">
      <w:bodyDiv w:val="1"/>
      <w:marLeft w:val="0"/>
      <w:marRight w:val="0"/>
      <w:marTop w:val="0"/>
      <w:marBottom w:val="0"/>
      <w:divBdr>
        <w:top w:val="none" w:sz="0" w:space="0" w:color="auto"/>
        <w:left w:val="none" w:sz="0" w:space="0" w:color="auto"/>
        <w:bottom w:val="none" w:sz="0" w:space="0" w:color="auto"/>
        <w:right w:val="none" w:sz="0" w:space="0" w:color="auto"/>
      </w:divBdr>
    </w:div>
    <w:div w:id="887453560">
      <w:bodyDiv w:val="1"/>
      <w:marLeft w:val="0"/>
      <w:marRight w:val="0"/>
      <w:marTop w:val="0"/>
      <w:marBottom w:val="0"/>
      <w:divBdr>
        <w:top w:val="none" w:sz="0" w:space="0" w:color="auto"/>
        <w:left w:val="none" w:sz="0" w:space="0" w:color="auto"/>
        <w:bottom w:val="none" w:sz="0" w:space="0" w:color="auto"/>
        <w:right w:val="none" w:sz="0" w:space="0" w:color="auto"/>
      </w:divBdr>
    </w:div>
    <w:div w:id="893740511">
      <w:bodyDiv w:val="1"/>
      <w:marLeft w:val="0"/>
      <w:marRight w:val="0"/>
      <w:marTop w:val="0"/>
      <w:marBottom w:val="0"/>
      <w:divBdr>
        <w:top w:val="none" w:sz="0" w:space="0" w:color="auto"/>
        <w:left w:val="none" w:sz="0" w:space="0" w:color="auto"/>
        <w:bottom w:val="none" w:sz="0" w:space="0" w:color="auto"/>
        <w:right w:val="none" w:sz="0" w:space="0" w:color="auto"/>
      </w:divBdr>
    </w:div>
    <w:div w:id="936333511">
      <w:bodyDiv w:val="1"/>
      <w:marLeft w:val="0"/>
      <w:marRight w:val="0"/>
      <w:marTop w:val="0"/>
      <w:marBottom w:val="0"/>
      <w:divBdr>
        <w:top w:val="none" w:sz="0" w:space="0" w:color="auto"/>
        <w:left w:val="none" w:sz="0" w:space="0" w:color="auto"/>
        <w:bottom w:val="none" w:sz="0" w:space="0" w:color="auto"/>
        <w:right w:val="none" w:sz="0" w:space="0" w:color="auto"/>
      </w:divBdr>
    </w:div>
    <w:div w:id="988440504">
      <w:bodyDiv w:val="1"/>
      <w:marLeft w:val="0"/>
      <w:marRight w:val="0"/>
      <w:marTop w:val="0"/>
      <w:marBottom w:val="0"/>
      <w:divBdr>
        <w:top w:val="none" w:sz="0" w:space="0" w:color="auto"/>
        <w:left w:val="none" w:sz="0" w:space="0" w:color="auto"/>
        <w:bottom w:val="none" w:sz="0" w:space="0" w:color="auto"/>
        <w:right w:val="none" w:sz="0" w:space="0" w:color="auto"/>
      </w:divBdr>
    </w:div>
    <w:div w:id="1026370517">
      <w:bodyDiv w:val="1"/>
      <w:marLeft w:val="0"/>
      <w:marRight w:val="0"/>
      <w:marTop w:val="0"/>
      <w:marBottom w:val="0"/>
      <w:divBdr>
        <w:top w:val="none" w:sz="0" w:space="0" w:color="auto"/>
        <w:left w:val="none" w:sz="0" w:space="0" w:color="auto"/>
        <w:bottom w:val="none" w:sz="0" w:space="0" w:color="auto"/>
        <w:right w:val="none" w:sz="0" w:space="0" w:color="auto"/>
      </w:divBdr>
    </w:div>
    <w:div w:id="1036812108">
      <w:bodyDiv w:val="1"/>
      <w:marLeft w:val="0"/>
      <w:marRight w:val="0"/>
      <w:marTop w:val="0"/>
      <w:marBottom w:val="0"/>
      <w:divBdr>
        <w:top w:val="none" w:sz="0" w:space="0" w:color="auto"/>
        <w:left w:val="none" w:sz="0" w:space="0" w:color="auto"/>
        <w:bottom w:val="none" w:sz="0" w:space="0" w:color="auto"/>
        <w:right w:val="none" w:sz="0" w:space="0" w:color="auto"/>
      </w:divBdr>
    </w:div>
    <w:div w:id="1056320229">
      <w:bodyDiv w:val="1"/>
      <w:marLeft w:val="0"/>
      <w:marRight w:val="0"/>
      <w:marTop w:val="0"/>
      <w:marBottom w:val="0"/>
      <w:divBdr>
        <w:top w:val="none" w:sz="0" w:space="0" w:color="auto"/>
        <w:left w:val="none" w:sz="0" w:space="0" w:color="auto"/>
        <w:bottom w:val="none" w:sz="0" w:space="0" w:color="auto"/>
        <w:right w:val="none" w:sz="0" w:space="0" w:color="auto"/>
      </w:divBdr>
    </w:div>
    <w:div w:id="1118334656">
      <w:bodyDiv w:val="1"/>
      <w:marLeft w:val="0"/>
      <w:marRight w:val="0"/>
      <w:marTop w:val="0"/>
      <w:marBottom w:val="0"/>
      <w:divBdr>
        <w:top w:val="none" w:sz="0" w:space="0" w:color="auto"/>
        <w:left w:val="none" w:sz="0" w:space="0" w:color="auto"/>
        <w:bottom w:val="none" w:sz="0" w:space="0" w:color="auto"/>
        <w:right w:val="none" w:sz="0" w:space="0" w:color="auto"/>
      </w:divBdr>
    </w:div>
    <w:div w:id="1148786281">
      <w:bodyDiv w:val="1"/>
      <w:marLeft w:val="0"/>
      <w:marRight w:val="0"/>
      <w:marTop w:val="0"/>
      <w:marBottom w:val="0"/>
      <w:divBdr>
        <w:top w:val="none" w:sz="0" w:space="0" w:color="auto"/>
        <w:left w:val="none" w:sz="0" w:space="0" w:color="auto"/>
        <w:bottom w:val="none" w:sz="0" w:space="0" w:color="auto"/>
        <w:right w:val="none" w:sz="0" w:space="0" w:color="auto"/>
      </w:divBdr>
    </w:div>
    <w:div w:id="1173185968">
      <w:bodyDiv w:val="1"/>
      <w:marLeft w:val="0"/>
      <w:marRight w:val="0"/>
      <w:marTop w:val="0"/>
      <w:marBottom w:val="0"/>
      <w:divBdr>
        <w:top w:val="none" w:sz="0" w:space="0" w:color="auto"/>
        <w:left w:val="none" w:sz="0" w:space="0" w:color="auto"/>
        <w:bottom w:val="none" w:sz="0" w:space="0" w:color="auto"/>
        <w:right w:val="none" w:sz="0" w:space="0" w:color="auto"/>
      </w:divBdr>
    </w:div>
    <w:div w:id="1192300847">
      <w:bodyDiv w:val="1"/>
      <w:marLeft w:val="0"/>
      <w:marRight w:val="0"/>
      <w:marTop w:val="0"/>
      <w:marBottom w:val="0"/>
      <w:divBdr>
        <w:top w:val="none" w:sz="0" w:space="0" w:color="auto"/>
        <w:left w:val="none" w:sz="0" w:space="0" w:color="auto"/>
        <w:bottom w:val="none" w:sz="0" w:space="0" w:color="auto"/>
        <w:right w:val="none" w:sz="0" w:space="0" w:color="auto"/>
      </w:divBdr>
    </w:div>
    <w:div w:id="1209881365">
      <w:bodyDiv w:val="1"/>
      <w:marLeft w:val="0"/>
      <w:marRight w:val="0"/>
      <w:marTop w:val="0"/>
      <w:marBottom w:val="0"/>
      <w:divBdr>
        <w:top w:val="none" w:sz="0" w:space="0" w:color="auto"/>
        <w:left w:val="none" w:sz="0" w:space="0" w:color="auto"/>
        <w:bottom w:val="none" w:sz="0" w:space="0" w:color="auto"/>
        <w:right w:val="none" w:sz="0" w:space="0" w:color="auto"/>
      </w:divBdr>
    </w:div>
    <w:div w:id="1211458198">
      <w:bodyDiv w:val="1"/>
      <w:marLeft w:val="0"/>
      <w:marRight w:val="0"/>
      <w:marTop w:val="0"/>
      <w:marBottom w:val="0"/>
      <w:divBdr>
        <w:top w:val="none" w:sz="0" w:space="0" w:color="auto"/>
        <w:left w:val="none" w:sz="0" w:space="0" w:color="auto"/>
        <w:bottom w:val="none" w:sz="0" w:space="0" w:color="auto"/>
        <w:right w:val="none" w:sz="0" w:space="0" w:color="auto"/>
      </w:divBdr>
    </w:div>
    <w:div w:id="1301375736">
      <w:bodyDiv w:val="1"/>
      <w:marLeft w:val="0"/>
      <w:marRight w:val="0"/>
      <w:marTop w:val="0"/>
      <w:marBottom w:val="0"/>
      <w:divBdr>
        <w:top w:val="none" w:sz="0" w:space="0" w:color="auto"/>
        <w:left w:val="none" w:sz="0" w:space="0" w:color="auto"/>
        <w:bottom w:val="none" w:sz="0" w:space="0" w:color="auto"/>
        <w:right w:val="none" w:sz="0" w:space="0" w:color="auto"/>
      </w:divBdr>
    </w:div>
    <w:div w:id="1318152572">
      <w:bodyDiv w:val="1"/>
      <w:marLeft w:val="0"/>
      <w:marRight w:val="0"/>
      <w:marTop w:val="0"/>
      <w:marBottom w:val="0"/>
      <w:divBdr>
        <w:top w:val="none" w:sz="0" w:space="0" w:color="auto"/>
        <w:left w:val="none" w:sz="0" w:space="0" w:color="auto"/>
        <w:bottom w:val="none" w:sz="0" w:space="0" w:color="auto"/>
        <w:right w:val="none" w:sz="0" w:space="0" w:color="auto"/>
      </w:divBdr>
    </w:div>
    <w:div w:id="1355233308">
      <w:bodyDiv w:val="1"/>
      <w:marLeft w:val="0"/>
      <w:marRight w:val="0"/>
      <w:marTop w:val="0"/>
      <w:marBottom w:val="0"/>
      <w:divBdr>
        <w:top w:val="none" w:sz="0" w:space="0" w:color="auto"/>
        <w:left w:val="none" w:sz="0" w:space="0" w:color="auto"/>
        <w:bottom w:val="none" w:sz="0" w:space="0" w:color="auto"/>
        <w:right w:val="none" w:sz="0" w:space="0" w:color="auto"/>
      </w:divBdr>
    </w:div>
    <w:div w:id="1366055376">
      <w:bodyDiv w:val="1"/>
      <w:marLeft w:val="0"/>
      <w:marRight w:val="0"/>
      <w:marTop w:val="0"/>
      <w:marBottom w:val="0"/>
      <w:divBdr>
        <w:top w:val="none" w:sz="0" w:space="0" w:color="auto"/>
        <w:left w:val="none" w:sz="0" w:space="0" w:color="auto"/>
        <w:bottom w:val="none" w:sz="0" w:space="0" w:color="auto"/>
        <w:right w:val="none" w:sz="0" w:space="0" w:color="auto"/>
      </w:divBdr>
    </w:div>
    <w:div w:id="1388143364">
      <w:bodyDiv w:val="1"/>
      <w:marLeft w:val="0"/>
      <w:marRight w:val="0"/>
      <w:marTop w:val="0"/>
      <w:marBottom w:val="0"/>
      <w:divBdr>
        <w:top w:val="none" w:sz="0" w:space="0" w:color="auto"/>
        <w:left w:val="none" w:sz="0" w:space="0" w:color="auto"/>
        <w:bottom w:val="none" w:sz="0" w:space="0" w:color="auto"/>
        <w:right w:val="none" w:sz="0" w:space="0" w:color="auto"/>
      </w:divBdr>
    </w:div>
    <w:div w:id="1411197029">
      <w:bodyDiv w:val="1"/>
      <w:marLeft w:val="0"/>
      <w:marRight w:val="0"/>
      <w:marTop w:val="0"/>
      <w:marBottom w:val="0"/>
      <w:divBdr>
        <w:top w:val="none" w:sz="0" w:space="0" w:color="auto"/>
        <w:left w:val="none" w:sz="0" w:space="0" w:color="auto"/>
        <w:bottom w:val="none" w:sz="0" w:space="0" w:color="auto"/>
        <w:right w:val="none" w:sz="0" w:space="0" w:color="auto"/>
      </w:divBdr>
    </w:div>
    <w:div w:id="1452939949">
      <w:bodyDiv w:val="1"/>
      <w:marLeft w:val="0"/>
      <w:marRight w:val="0"/>
      <w:marTop w:val="0"/>
      <w:marBottom w:val="0"/>
      <w:divBdr>
        <w:top w:val="none" w:sz="0" w:space="0" w:color="auto"/>
        <w:left w:val="none" w:sz="0" w:space="0" w:color="auto"/>
        <w:bottom w:val="none" w:sz="0" w:space="0" w:color="auto"/>
        <w:right w:val="none" w:sz="0" w:space="0" w:color="auto"/>
      </w:divBdr>
    </w:div>
    <w:div w:id="1460567963">
      <w:bodyDiv w:val="1"/>
      <w:marLeft w:val="0"/>
      <w:marRight w:val="0"/>
      <w:marTop w:val="0"/>
      <w:marBottom w:val="0"/>
      <w:divBdr>
        <w:top w:val="none" w:sz="0" w:space="0" w:color="auto"/>
        <w:left w:val="none" w:sz="0" w:space="0" w:color="auto"/>
        <w:bottom w:val="none" w:sz="0" w:space="0" w:color="auto"/>
        <w:right w:val="none" w:sz="0" w:space="0" w:color="auto"/>
      </w:divBdr>
    </w:div>
    <w:div w:id="1569417460">
      <w:bodyDiv w:val="1"/>
      <w:marLeft w:val="0"/>
      <w:marRight w:val="0"/>
      <w:marTop w:val="0"/>
      <w:marBottom w:val="0"/>
      <w:divBdr>
        <w:top w:val="none" w:sz="0" w:space="0" w:color="auto"/>
        <w:left w:val="none" w:sz="0" w:space="0" w:color="auto"/>
        <w:bottom w:val="none" w:sz="0" w:space="0" w:color="auto"/>
        <w:right w:val="none" w:sz="0" w:space="0" w:color="auto"/>
      </w:divBdr>
    </w:div>
    <w:div w:id="1731222267">
      <w:bodyDiv w:val="1"/>
      <w:marLeft w:val="0"/>
      <w:marRight w:val="0"/>
      <w:marTop w:val="0"/>
      <w:marBottom w:val="0"/>
      <w:divBdr>
        <w:top w:val="none" w:sz="0" w:space="0" w:color="auto"/>
        <w:left w:val="none" w:sz="0" w:space="0" w:color="auto"/>
        <w:bottom w:val="none" w:sz="0" w:space="0" w:color="auto"/>
        <w:right w:val="none" w:sz="0" w:space="0" w:color="auto"/>
      </w:divBdr>
    </w:div>
    <w:div w:id="1772046326">
      <w:bodyDiv w:val="1"/>
      <w:marLeft w:val="0"/>
      <w:marRight w:val="0"/>
      <w:marTop w:val="0"/>
      <w:marBottom w:val="0"/>
      <w:divBdr>
        <w:top w:val="none" w:sz="0" w:space="0" w:color="auto"/>
        <w:left w:val="none" w:sz="0" w:space="0" w:color="auto"/>
        <w:bottom w:val="none" w:sz="0" w:space="0" w:color="auto"/>
        <w:right w:val="none" w:sz="0" w:space="0" w:color="auto"/>
      </w:divBdr>
    </w:div>
    <w:div w:id="1790857938">
      <w:bodyDiv w:val="1"/>
      <w:marLeft w:val="0"/>
      <w:marRight w:val="0"/>
      <w:marTop w:val="0"/>
      <w:marBottom w:val="0"/>
      <w:divBdr>
        <w:top w:val="none" w:sz="0" w:space="0" w:color="auto"/>
        <w:left w:val="none" w:sz="0" w:space="0" w:color="auto"/>
        <w:bottom w:val="none" w:sz="0" w:space="0" w:color="auto"/>
        <w:right w:val="none" w:sz="0" w:space="0" w:color="auto"/>
      </w:divBdr>
      <w:divsChild>
        <w:div w:id="891186904">
          <w:marLeft w:val="547"/>
          <w:marRight w:val="0"/>
          <w:marTop w:val="0"/>
          <w:marBottom w:val="0"/>
          <w:divBdr>
            <w:top w:val="none" w:sz="0" w:space="0" w:color="auto"/>
            <w:left w:val="none" w:sz="0" w:space="0" w:color="auto"/>
            <w:bottom w:val="none" w:sz="0" w:space="0" w:color="auto"/>
            <w:right w:val="none" w:sz="0" w:space="0" w:color="auto"/>
          </w:divBdr>
        </w:div>
      </w:divsChild>
    </w:div>
    <w:div w:id="1834835104">
      <w:bodyDiv w:val="1"/>
      <w:marLeft w:val="0"/>
      <w:marRight w:val="0"/>
      <w:marTop w:val="0"/>
      <w:marBottom w:val="0"/>
      <w:divBdr>
        <w:top w:val="none" w:sz="0" w:space="0" w:color="auto"/>
        <w:left w:val="none" w:sz="0" w:space="0" w:color="auto"/>
        <w:bottom w:val="none" w:sz="0" w:space="0" w:color="auto"/>
        <w:right w:val="none" w:sz="0" w:space="0" w:color="auto"/>
      </w:divBdr>
    </w:div>
    <w:div w:id="1835686885">
      <w:bodyDiv w:val="1"/>
      <w:marLeft w:val="0"/>
      <w:marRight w:val="0"/>
      <w:marTop w:val="0"/>
      <w:marBottom w:val="0"/>
      <w:divBdr>
        <w:top w:val="none" w:sz="0" w:space="0" w:color="auto"/>
        <w:left w:val="none" w:sz="0" w:space="0" w:color="auto"/>
        <w:bottom w:val="none" w:sz="0" w:space="0" w:color="auto"/>
        <w:right w:val="none" w:sz="0" w:space="0" w:color="auto"/>
      </w:divBdr>
    </w:div>
    <w:div w:id="1874077858">
      <w:bodyDiv w:val="1"/>
      <w:marLeft w:val="0"/>
      <w:marRight w:val="0"/>
      <w:marTop w:val="0"/>
      <w:marBottom w:val="0"/>
      <w:divBdr>
        <w:top w:val="none" w:sz="0" w:space="0" w:color="auto"/>
        <w:left w:val="none" w:sz="0" w:space="0" w:color="auto"/>
        <w:bottom w:val="none" w:sz="0" w:space="0" w:color="auto"/>
        <w:right w:val="none" w:sz="0" w:space="0" w:color="auto"/>
      </w:divBdr>
    </w:div>
    <w:div w:id="1905945296">
      <w:bodyDiv w:val="1"/>
      <w:marLeft w:val="0"/>
      <w:marRight w:val="0"/>
      <w:marTop w:val="0"/>
      <w:marBottom w:val="0"/>
      <w:divBdr>
        <w:top w:val="none" w:sz="0" w:space="0" w:color="auto"/>
        <w:left w:val="none" w:sz="0" w:space="0" w:color="auto"/>
        <w:bottom w:val="none" w:sz="0" w:space="0" w:color="auto"/>
        <w:right w:val="none" w:sz="0" w:space="0" w:color="auto"/>
      </w:divBdr>
    </w:div>
    <w:div w:id="1922448748">
      <w:bodyDiv w:val="1"/>
      <w:marLeft w:val="0"/>
      <w:marRight w:val="0"/>
      <w:marTop w:val="0"/>
      <w:marBottom w:val="0"/>
      <w:divBdr>
        <w:top w:val="none" w:sz="0" w:space="0" w:color="auto"/>
        <w:left w:val="none" w:sz="0" w:space="0" w:color="auto"/>
        <w:bottom w:val="none" w:sz="0" w:space="0" w:color="auto"/>
        <w:right w:val="none" w:sz="0" w:space="0" w:color="auto"/>
      </w:divBdr>
    </w:div>
    <w:div w:id="1940335299">
      <w:bodyDiv w:val="1"/>
      <w:marLeft w:val="0"/>
      <w:marRight w:val="0"/>
      <w:marTop w:val="0"/>
      <w:marBottom w:val="0"/>
      <w:divBdr>
        <w:top w:val="none" w:sz="0" w:space="0" w:color="auto"/>
        <w:left w:val="none" w:sz="0" w:space="0" w:color="auto"/>
        <w:bottom w:val="none" w:sz="0" w:space="0" w:color="auto"/>
        <w:right w:val="none" w:sz="0" w:space="0" w:color="auto"/>
      </w:divBdr>
    </w:div>
    <w:div w:id="1966697060">
      <w:bodyDiv w:val="1"/>
      <w:marLeft w:val="0"/>
      <w:marRight w:val="0"/>
      <w:marTop w:val="0"/>
      <w:marBottom w:val="0"/>
      <w:divBdr>
        <w:top w:val="none" w:sz="0" w:space="0" w:color="auto"/>
        <w:left w:val="none" w:sz="0" w:space="0" w:color="auto"/>
        <w:bottom w:val="none" w:sz="0" w:space="0" w:color="auto"/>
        <w:right w:val="none" w:sz="0" w:space="0" w:color="auto"/>
      </w:divBdr>
    </w:div>
    <w:div w:id="2031370925">
      <w:bodyDiv w:val="1"/>
      <w:marLeft w:val="0"/>
      <w:marRight w:val="0"/>
      <w:marTop w:val="0"/>
      <w:marBottom w:val="0"/>
      <w:divBdr>
        <w:top w:val="none" w:sz="0" w:space="0" w:color="auto"/>
        <w:left w:val="none" w:sz="0" w:space="0" w:color="auto"/>
        <w:bottom w:val="none" w:sz="0" w:space="0" w:color="auto"/>
        <w:right w:val="none" w:sz="0" w:space="0" w:color="auto"/>
      </w:divBdr>
    </w:div>
    <w:div w:id="2063139057">
      <w:bodyDiv w:val="1"/>
      <w:marLeft w:val="0"/>
      <w:marRight w:val="0"/>
      <w:marTop w:val="0"/>
      <w:marBottom w:val="0"/>
      <w:divBdr>
        <w:top w:val="none" w:sz="0" w:space="0" w:color="auto"/>
        <w:left w:val="none" w:sz="0" w:space="0" w:color="auto"/>
        <w:bottom w:val="none" w:sz="0" w:space="0" w:color="auto"/>
        <w:right w:val="none" w:sz="0" w:space="0" w:color="auto"/>
      </w:divBdr>
    </w:div>
    <w:div w:id="2109497222">
      <w:bodyDiv w:val="1"/>
      <w:marLeft w:val="0"/>
      <w:marRight w:val="0"/>
      <w:marTop w:val="0"/>
      <w:marBottom w:val="0"/>
      <w:divBdr>
        <w:top w:val="none" w:sz="0" w:space="0" w:color="auto"/>
        <w:left w:val="none" w:sz="0" w:space="0" w:color="auto"/>
        <w:bottom w:val="none" w:sz="0" w:space="0" w:color="auto"/>
        <w:right w:val="none" w:sz="0" w:space="0" w:color="auto"/>
      </w:divBdr>
    </w:div>
    <w:div w:id="2132359836">
      <w:bodyDiv w:val="1"/>
      <w:marLeft w:val="0"/>
      <w:marRight w:val="0"/>
      <w:marTop w:val="0"/>
      <w:marBottom w:val="0"/>
      <w:divBdr>
        <w:top w:val="none" w:sz="0" w:space="0" w:color="auto"/>
        <w:left w:val="none" w:sz="0" w:space="0" w:color="auto"/>
        <w:bottom w:val="none" w:sz="0" w:space="0" w:color="auto"/>
        <w:right w:val="none" w:sz="0" w:space="0" w:color="auto"/>
      </w:divBdr>
    </w:div>
    <w:div w:id="21418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diagramQuickStyle" Target="diagrams/quickStyle3.xml"/><Relationship Id="rId39" Type="http://schemas.openxmlformats.org/officeDocument/2006/relationships/chart" Target="charts/chart11.xml"/><Relationship Id="rId21" Type="http://schemas.microsoft.com/office/2007/relationships/diagramDrawing" Target="diagrams/drawing2.xml"/><Relationship Id="rId34" Type="http://schemas.openxmlformats.org/officeDocument/2006/relationships/diagramData" Target="diagrams/data4.xml"/><Relationship Id="rId42" Type="http://schemas.openxmlformats.org/officeDocument/2006/relationships/diagramLayout" Target="diagrams/layout5.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6.xml"/><Relationship Id="rId11" Type="http://schemas.openxmlformats.org/officeDocument/2006/relationships/diagramQuickStyle" Target="diagrams/quickStyle1.xml"/><Relationship Id="rId24" Type="http://schemas.openxmlformats.org/officeDocument/2006/relationships/diagramData" Target="diagrams/data3.xml"/><Relationship Id="rId32" Type="http://schemas.openxmlformats.org/officeDocument/2006/relationships/chart" Target="charts/chart9.xml"/><Relationship Id="rId37" Type="http://schemas.openxmlformats.org/officeDocument/2006/relationships/diagramColors" Target="diagrams/colors4.xml"/><Relationship Id="rId40" Type="http://schemas.openxmlformats.org/officeDocument/2006/relationships/chart" Target="charts/chart12.xml"/><Relationship Id="rId45"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microsoft.com/office/2007/relationships/diagramDrawing" Target="diagrams/drawing3.xml"/><Relationship Id="rId36" Type="http://schemas.openxmlformats.org/officeDocument/2006/relationships/diagramQuickStyle" Target="diagrams/quickStyle4.xml"/><Relationship Id="rId49"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chart" Target="charts/chart8.xml"/><Relationship Id="rId44"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diagramColors" Target="diagrams/colors3.xml"/><Relationship Id="rId30" Type="http://schemas.openxmlformats.org/officeDocument/2006/relationships/chart" Target="charts/chart7.xml"/><Relationship Id="rId35" Type="http://schemas.openxmlformats.org/officeDocument/2006/relationships/diagramLayout" Target="diagrams/layout4.xml"/><Relationship Id="rId43" Type="http://schemas.openxmlformats.org/officeDocument/2006/relationships/diagramQuickStyle" Target="diagrams/quickStyle5.xm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openxmlformats.org/officeDocument/2006/relationships/chart" Target="charts/chart10.xml"/><Relationship Id="rId38" Type="http://schemas.microsoft.com/office/2007/relationships/diagramDrawing" Target="diagrams/drawing4.xml"/><Relationship Id="rId46" Type="http://schemas.openxmlformats.org/officeDocument/2006/relationships/header" Target="header1.xml"/><Relationship Id="rId20" Type="http://schemas.openxmlformats.org/officeDocument/2006/relationships/diagramColors" Target="diagrams/colors2.xml"/><Relationship Id="rId41"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t" anchorCtr="0"/>
          <a:lstStyle/>
          <a:p>
            <a:pPr>
              <a:defRPr sz="105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050"/>
              <a:t>Ingresos</a:t>
            </a:r>
            <a:r>
              <a:rPr lang="es-GT" sz="1050" baseline="0"/>
              <a:t> Totales</a:t>
            </a:r>
          </a:p>
          <a:p>
            <a:pPr>
              <a:defRPr sz="1050">
                <a:solidFill>
                  <a:sysClr val="windowText" lastClr="000000"/>
                </a:solidFill>
              </a:defRPr>
            </a:pPr>
            <a:r>
              <a:rPr lang="es-GT" sz="1050" baseline="0"/>
              <a:t>Variación interanual acumulada  </a:t>
            </a:r>
          </a:p>
          <a:p>
            <a:pPr>
              <a:defRPr sz="1050">
                <a:solidFill>
                  <a:sysClr val="windowText" lastClr="000000"/>
                </a:solidFill>
              </a:defRPr>
            </a:pPr>
            <a:r>
              <a:rPr lang="es-GT" sz="1050" baseline="0"/>
              <a:t>a septiembre de cada año</a:t>
            </a:r>
          </a:p>
          <a:p>
            <a:pPr>
              <a:defRPr sz="1050">
                <a:solidFill>
                  <a:sysClr val="windowText" lastClr="000000"/>
                </a:solidFill>
              </a:defRPr>
            </a:pPr>
            <a:r>
              <a:rPr lang="es-GT" sz="1050" b="0" baseline="0"/>
              <a:t>En porcentajes</a:t>
            </a:r>
            <a:endParaRPr lang="es-GT" sz="1050" b="0"/>
          </a:p>
        </c:rich>
      </c:tx>
      <c:layout>
        <c:manualLayout>
          <c:xMode val="edge"/>
          <c:yMode val="edge"/>
          <c:x val="0.3425211276330517"/>
          <c:y val="0"/>
        </c:manualLayout>
      </c:layout>
      <c:overlay val="0"/>
      <c:spPr>
        <a:noFill/>
        <a:ln>
          <a:noFill/>
        </a:ln>
        <a:effectLst/>
      </c:spPr>
      <c:txPr>
        <a:bodyPr rot="0" spcFirstLastPara="1" vertOverflow="ellipsis" vert="horz" wrap="square" anchor="t" anchorCtr="0"/>
        <a:lstStyle/>
        <a:p>
          <a:pPr>
            <a:defRPr sz="105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34724674567194252"/>
          <c:w val="1"/>
          <c:h val="0.44224343169225067"/>
        </c:manualLayout>
      </c:layout>
      <c:barChart>
        <c:barDir val="col"/>
        <c:grouping val="clustered"/>
        <c:varyColors val="0"/>
        <c:ser>
          <c:idx val="0"/>
          <c:order val="1"/>
          <c:tx>
            <c:strRef>
              <c:f>Hoja1!$D$1</c:f>
              <c:strCache>
                <c:ptCount val="1"/>
                <c:pt idx="0">
                  <c:v>2021</c:v>
                </c:pt>
              </c:strCache>
            </c:strRef>
          </c:tx>
          <c:spPr>
            <a:solidFill>
              <a:schemeClr val="accent6"/>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2.3470150615266206E-3"/>
                  <c:y val="-6.88830562846310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8E-4F11-B795-3C8DE4243CFB}"/>
                </c:ext>
              </c:extLst>
            </c:dLbl>
            <c:dLbl>
              <c:idx val="1"/>
              <c:layout>
                <c:manualLayout>
                  <c:x val="-1.9757647965889416E-17"/>
                  <c:y val="1.6758132506164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69-4070-A5FD-52761F3A4378}"/>
                </c:ext>
              </c:extLst>
            </c:dLbl>
            <c:dLbl>
              <c:idx val="2"/>
              <c:tx>
                <c:rich>
                  <a:bodyPr/>
                  <a:lstStyle/>
                  <a:p>
                    <a:fld id="{B70952BE-0E47-4080-9730-962434246B8C}"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7DA-4CEC-AFDB-4DA9C5CBDAE3}"/>
                </c:ext>
              </c:extLst>
            </c:dLbl>
            <c:dLbl>
              <c:idx val="3"/>
              <c:layout>
                <c:manualLayout>
                  <c:x val="-4.5024763619991824E-3"/>
                  <c:y val="-9.32983284862533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DA-4CEC-AFDB-4DA9C5CBDAE3}"/>
                </c:ext>
              </c:extLst>
            </c:dLbl>
            <c:dLbl>
              <c:idx val="4"/>
              <c:tx>
                <c:rich>
                  <a:bodyPr/>
                  <a:lstStyle/>
                  <a:p>
                    <a:fld id="{BE595BC7-DCA9-479A-871E-3B938E48F3A0}"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7DA-4CEC-AFDB-4DA9C5CBDAE3}"/>
                </c:ext>
              </c:extLst>
            </c:dLbl>
            <c:dLbl>
              <c:idx val="5"/>
              <c:tx>
                <c:rich>
                  <a:bodyPr/>
                  <a:lstStyle/>
                  <a:p>
                    <a:fld id="{9DDCDE80-5BE7-4E7D-88FF-C833BCB9D083}"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DA-4CEC-AFDB-4DA9C5CBDAE3}"/>
                </c:ext>
              </c:extLst>
            </c:dLbl>
            <c:dLbl>
              <c:idx val="6"/>
              <c:tx>
                <c:rich>
                  <a:bodyPr/>
                  <a:lstStyle/>
                  <a:p>
                    <a:fld id="{2D891769-A5A5-4BD0-9B1C-58547D5E3D03}"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7DA-4CEC-AFDB-4DA9C5CBDAE3}"/>
                </c:ext>
              </c:extLst>
            </c:dLbl>
            <c:dLbl>
              <c:idx val="7"/>
              <c:tx>
                <c:rich>
                  <a:bodyPr/>
                  <a:lstStyle/>
                  <a:p>
                    <a:fld id="{D55D93F5-CB79-4C89-BF5E-9AF4FE653A6C}" type="VALUE">
                      <a:rPr lang="en-US">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DA-4CEC-AFDB-4DA9C5CBDAE3}"/>
                </c:ext>
              </c:extLst>
            </c:dLbl>
            <c:dLbl>
              <c:idx val="8"/>
              <c:tx>
                <c:rich>
                  <a:bodyPr/>
                  <a:lstStyle/>
                  <a:p>
                    <a:fld id="{A49661DA-D522-4D0D-AEC4-E447451C9457}" type="VALUE">
                      <a:rPr lang="en-US" sz="700">
                        <a:solidFill>
                          <a:schemeClr val="accent6"/>
                        </a:solidFill>
                      </a:rPr>
                      <a:pPr/>
                      <a:t>[VALOR]</a:t>
                    </a:fld>
                    <a:endParaRPr lang="es-G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7DA-4CEC-AFDB-4DA9C5CBDAE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Enero</c:v>
                </c:pt>
                <c:pt idx="1">
                  <c:v>Febrero</c:v>
                </c:pt>
                <c:pt idx="2">
                  <c:v>Marzo</c:v>
                </c:pt>
                <c:pt idx="3">
                  <c:v>Abril</c:v>
                </c:pt>
                <c:pt idx="4">
                  <c:v>Mayo</c:v>
                </c:pt>
                <c:pt idx="5">
                  <c:v>Junio</c:v>
                </c:pt>
                <c:pt idx="6">
                  <c:v>Julio</c:v>
                </c:pt>
                <c:pt idx="7">
                  <c:v>Agosto</c:v>
                </c:pt>
                <c:pt idx="8">
                  <c:v>Septiembre</c:v>
                </c:pt>
              </c:strCache>
            </c:strRef>
          </c:cat>
          <c:val>
            <c:numRef>
              <c:f>Hoja1!$D$2:$D$10</c:f>
              <c:numCache>
                <c:formatCode>#,##0.0_ ;[Red]\-#,##0.0\ </c:formatCode>
                <c:ptCount val="9"/>
                <c:pt idx="0">
                  <c:v>3.8245821962326287</c:v>
                </c:pt>
                <c:pt idx="1">
                  <c:v>5.9694510049408844</c:v>
                </c:pt>
                <c:pt idx="2">
                  <c:v>20.645912271943367</c:v>
                </c:pt>
                <c:pt idx="3">
                  <c:v>17.500585514399148</c:v>
                </c:pt>
                <c:pt idx="4">
                  <c:v>21.448138004375018</c:v>
                </c:pt>
                <c:pt idx="5">
                  <c:v>24.666565796808726</c:v>
                </c:pt>
                <c:pt idx="6">
                  <c:v>26.891230267757884</c:v>
                </c:pt>
                <c:pt idx="7">
                  <c:v>27.687121421931906</c:v>
                </c:pt>
                <c:pt idx="8">
                  <c:v>27.566181526963685</c:v>
                </c:pt>
              </c:numCache>
            </c:numRef>
          </c:val>
          <c:extLst>
            <c:ext xmlns:c16="http://schemas.microsoft.com/office/drawing/2014/chart" uri="{C3380CC4-5D6E-409C-BE32-E72D297353CC}">
              <c16:uniqueId val="{00000001-E2D9-4984-901D-E1114F265272}"/>
            </c:ext>
          </c:extLst>
        </c:ser>
        <c:ser>
          <c:idx val="1"/>
          <c:order val="2"/>
          <c:tx>
            <c:strRef>
              <c:f>Hoja1!$C$1</c:f>
              <c:strCache>
                <c:ptCount val="1"/>
                <c:pt idx="0">
                  <c:v>2022</c:v>
                </c:pt>
              </c:strCache>
            </c:strRef>
          </c:tx>
          <c:spPr>
            <a:solidFill>
              <a:schemeClr val="accent5"/>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9.00495272399819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DA-4CEC-AFDB-4DA9C5CBDAE3}"/>
                </c:ext>
              </c:extLst>
            </c:dLbl>
            <c:dLbl>
              <c:idx val="1"/>
              <c:layout>
                <c:manualLayout>
                  <c:x val="7.1827801516148523E-3"/>
                  <c:y val="-2.8089388627350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8E-4F11-B795-3C8DE4243CFB}"/>
                </c:ext>
              </c:extLst>
            </c:dLbl>
            <c:dLbl>
              <c:idx val="2"/>
              <c:layout>
                <c:manualLayout>
                  <c:x val="2.1654395842355999E-3"/>
                  <c:y val="-2.3449623541582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DA-4CEC-AFDB-4DA9C5CBDAE3}"/>
                </c:ext>
              </c:extLst>
            </c:dLbl>
            <c:dLbl>
              <c:idx val="3"/>
              <c:layout>
                <c:manualLayout>
                  <c:x val="4.8239266763145201E-3"/>
                  <c:y val="-1.1476932109329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8E-4F11-B795-3C8DE4243CFB}"/>
                </c:ext>
              </c:extLst>
            </c:dLbl>
            <c:dLbl>
              <c:idx val="4"/>
              <c:layout>
                <c:manualLayout>
                  <c:x val="4.8239266763145201E-3"/>
                  <c:y val="-6.25368189615405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4A-4036-9CA9-4FEE2D543697}"/>
                </c:ext>
              </c:extLst>
            </c:dLbl>
            <c:dLbl>
              <c:idx val="5"/>
              <c:layout>
                <c:manualLayout>
                  <c:x val="9.6478533526290402E-3"/>
                  <c:y val="-6.63550076783136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4A-4036-9CA9-4FEE2D543697}"/>
                </c:ext>
              </c:extLst>
            </c:dLbl>
            <c:dLbl>
              <c:idx val="6"/>
              <c:layout>
                <c:manualLayout>
                  <c:x val="0"/>
                  <c:y val="-1.967178345132335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56-43FC-A646-87823658FB3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Enero</c:v>
                </c:pt>
                <c:pt idx="1">
                  <c:v>Febrero</c:v>
                </c:pt>
                <c:pt idx="2">
                  <c:v>Marzo</c:v>
                </c:pt>
                <c:pt idx="3">
                  <c:v>Abril</c:v>
                </c:pt>
                <c:pt idx="4">
                  <c:v>Mayo</c:v>
                </c:pt>
                <c:pt idx="5">
                  <c:v>Junio</c:v>
                </c:pt>
                <c:pt idx="6">
                  <c:v>Julio</c:v>
                </c:pt>
                <c:pt idx="7">
                  <c:v>Agosto</c:v>
                </c:pt>
                <c:pt idx="8">
                  <c:v>Septiembre</c:v>
                </c:pt>
              </c:strCache>
            </c:strRef>
          </c:cat>
          <c:val>
            <c:numRef>
              <c:f>Hoja1!$C$2:$C$10</c:f>
              <c:numCache>
                <c:formatCode>#,##0.0_ ;[Red]\-#,##0.0\ </c:formatCode>
                <c:ptCount val="9"/>
                <c:pt idx="0">
                  <c:v>12.677877241828872</c:v>
                </c:pt>
                <c:pt idx="1">
                  <c:v>11.352658443082198</c:v>
                </c:pt>
                <c:pt idx="2">
                  <c:v>14.370816146065835</c:v>
                </c:pt>
                <c:pt idx="3">
                  <c:v>15.813337069406131</c:v>
                </c:pt>
                <c:pt idx="4">
                  <c:v>15.969954899164328</c:v>
                </c:pt>
                <c:pt idx="5">
                  <c:v>16.264733763042226</c:v>
                </c:pt>
                <c:pt idx="6">
                  <c:v>16.201465342949529</c:v>
                </c:pt>
                <c:pt idx="7">
                  <c:v>16.10992563307212</c:v>
                </c:pt>
                <c:pt idx="8">
                  <c:v>16.172078935698231</c:v>
                </c:pt>
              </c:numCache>
            </c:numRef>
          </c:val>
          <c:extLst>
            <c:ext xmlns:c16="http://schemas.microsoft.com/office/drawing/2014/chart" uri="{C3380CC4-5D6E-409C-BE32-E72D297353CC}">
              <c16:uniqueId val="{00000000-E2D9-4984-901D-E1114F265272}"/>
            </c:ext>
          </c:extLst>
        </c:ser>
        <c:dLbls>
          <c:showLegendKey val="0"/>
          <c:showVal val="0"/>
          <c:showCatName val="0"/>
          <c:showSerName val="0"/>
          <c:showPercent val="0"/>
          <c:showBubbleSize val="0"/>
        </c:dLbls>
        <c:gapWidth val="150"/>
        <c:axId val="1509281743"/>
        <c:axId val="344873055"/>
      </c:barChart>
      <c:lineChart>
        <c:grouping val="standard"/>
        <c:varyColors val="0"/>
        <c:ser>
          <c:idx val="2"/>
          <c:order val="0"/>
          <c:tx>
            <c:strRef>
              <c:f>Hoja1!$B$1</c:f>
              <c:strCache>
                <c:ptCount val="1"/>
                <c:pt idx="0">
                  <c:v>2023*</c:v>
                </c:pt>
              </c:strCache>
            </c:strRef>
          </c:tx>
          <c:spPr>
            <a:ln w="25400" cap="rnd">
              <a:solidFill>
                <a:schemeClr val="accent4"/>
              </a:solidFill>
              <a:round/>
              <a:tailEnd type="triangle"/>
            </a:ln>
            <a:effectLst>
              <a:outerShdw blurRad="50800" dist="38100" dir="18900000" algn="bl" rotWithShape="0">
                <a:prstClr val="black">
                  <a:alpha val="40000"/>
                </a:prstClr>
              </a:outerShdw>
            </a:effectLst>
          </c:spPr>
          <c:marker>
            <c:symbol val="diamond"/>
            <c:size val="7"/>
            <c:spPr>
              <a:solidFill>
                <a:schemeClr val="lt1"/>
              </a:solidFill>
              <a:ln w="15875">
                <a:solidFill>
                  <a:schemeClr val="accent4"/>
                </a:solidFill>
                <a:round/>
              </a:ln>
              <a:effectLst/>
            </c:spPr>
          </c:marker>
          <c:dLbls>
            <c:dLbl>
              <c:idx val="0"/>
              <c:layout>
                <c:manualLayout>
                  <c:x val="-5.4774220309359148E-2"/>
                  <c:y val="-9.0185329887199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F-4D19-9CDB-2A18BD344173}"/>
                </c:ext>
              </c:extLst>
            </c:dLbl>
            <c:dLbl>
              <c:idx val="1"/>
              <c:layout>
                <c:manualLayout>
                  <c:x val="-6.0788693019740117E-2"/>
                  <c:y val="-0.10820091820249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F-4D19-9CDB-2A18BD344173}"/>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Enero</c:v>
                </c:pt>
                <c:pt idx="1">
                  <c:v>Febrero</c:v>
                </c:pt>
                <c:pt idx="2">
                  <c:v>Marzo</c:v>
                </c:pt>
                <c:pt idx="3">
                  <c:v>Abril</c:v>
                </c:pt>
                <c:pt idx="4">
                  <c:v>Mayo</c:v>
                </c:pt>
                <c:pt idx="5">
                  <c:v>Junio</c:v>
                </c:pt>
                <c:pt idx="6">
                  <c:v>Julio</c:v>
                </c:pt>
                <c:pt idx="7">
                  <c:v>Agosto</c:v>
                </c:pt>
                <c:pt idx="8">
                  <c:v>Septiembre</c:v>
                </c:pt>
              </c:strCache>
            </c:strRef>
          </c:cat>
          <c:val>
            <c:numRef>
              <c:f>Hoja1!$B$2:$B$10</c:f>
              <c:numCache>
                <c:formatCode>#,##0.0_ ;[Red]\-#,##0.0\ </c:formatCode>
                <c:ptCount val="9"/>
                <c:pt idx="0">
                  <c:v>11.923638474226728</c:v>
                </c:pt>
                <c:pt idx="1">
                  <c:v>12.096537580722133</c:v>
                </c:pt>
                <c:pt idx="2">
                  <c:v>11.891027426598022</c:v>
                </c:pt>
                <c:pt idx="3">
                  <c:v>9.945145360577845</c:v>
                </c:pt>
                <c:pt idx="4">
                  <c:v>10.080371572803859</c:v>
                </c:pt>
                <c:pt idx="5">
                  <c:v>9.8602765566553572</c:v>
                </c:pt>
                <c:pt idx="6">
                  <c:v>9.5000163030250171</c:v>
                </c:pt>
                <c:pt idx="7">
                  <c:v>9.8757176373462485</c:v>
                </c:pt>
                <c:pt idx="8">
                  <c:v>9.2205271515167766</c:v>
                </c:pt>
              </c:numCache>
            </c:numRef>
          </c:val>
          <c:smooth val="1"/>
          <c:extLst>
            <c:ext xmlns:c16="http://schemas.microsoft.com/office/drawing/2014/chart" uri="{C3380CC4-5D6E-409C-BE32-E72D297353CC}">
              <c16:uniqueId val="{00000005-E2D9-4984-901D-E1114F265272}"/>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max val="30"/>
          <c:min val="0"/>
        </c:scaling>
        <c:delete val="1"/>
        <c:axPos val="l"/>
        <c:majorGridlines>
          <c:spPr>
            <a:ln w="9525" cap="flat" cmpd="sng" algn="ctr">
              <a:solidFill>
                <a:schemeClr val="dk1">
                  <a:lumMod val="15000"/>
                  <a:lumOff val="85000"/>
                  <a:alpha val="54000"/>
                </a:schemeClr>
              </a:solidFill>
              <a:round/>
            </a:ln>
            <a:effectLst/>
          </c:spPr>
        </c:majorGridlines>
        <c:numFmt formatCode="#,##0_ ;[Red]\-#,##0\ " sourceLinked="0"/>
        <c:majorTickMark val="out"/>
        <c:minorTickMark val="none"/>
        <c:tickLblPos val="nextTo"/>
        <c:crossAx val="1509281743"/>
        <c:crosses val="autoZero"/>
        <c:crossBetween val="between"/>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
          <c:y val="0.90906400458502157"/>
          <c:w val="0.83383085843658489"/>
          <c:h val="8.040482385808800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900"/>
              <a:t>Por tipo de Instrumento</a:t>
            </a:r>
          </a:p>
          <a:p>
            <a:pPr>
              <a:defRPr sz="900" b="1">
                <a:solidFill>
                  <a:schemeClr val="tx1"/>
                </a:solidFill>
              </a:defRPr>
            </a:pPr>
            <a:r>
              <a:rPr lang="es-GT" sz="900"/>
              <a:t>Cifra acumulada</a:t>
            </a:r>
          </a:p>
        </c:rich>
      </c:tx>
      <c:layout>
        <c:manualLayout>
          <c:xMode val="edge"/>
          <c:yMode val="edge"/>
          <c:x val="0.24247808794645748"/>
          <c:y val="4.4535929071858145E-3"/>
        </c:manualLayout>
      </c:layout>
      <c:overlay val="0"/>
      <c:spPr>
        <a:noFill/>
        <a:ln>
          <a:noFill/>
        </a:ln>
        <a:effectLst/>
      </c:spPr>
      <c:txPr>
        <a:bodyPr rot="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43895438996051417"/>
          <c:y val="0.1666148629860906"/>
          <c:w val="0.42244741697619359"/>
          <c:h val="0.72748497901176989"/>
        </c:manualLayout>
      </c:layout>
      <c:barChart>
        <c:barDir val="bar"/>
        <c:grouping val="clustered"/>
        <c:varyColors val="1"/>
        <c:ser>
          <c:idx val="0"/>
          <c:order val="0"/>
          <c:tx>
            <c:strRef>
              <c:f>Hoja1!$B$1</c:f>
              <c:strCache>
                <c:ptCount val="1"/>
                <c:pt idx="0">
                  <c:v>Serie 1</c:v>
                </c:pt>
              </c:strCache>
            </c:strRef>
          </c:tx>
          <c:spPr>
            <a:solidFill>
              <a:srgbClr val="FF0000"/>
            </a:solidFill>
            <a:ln w="15875">
              <a:solidFill>
                <a:sysClr val="windowText" lastClr="000000"/>
              </a:solidFill>
            </a:ln>
          </c:spPr>
          <c:invertIfNegative val="0"/>
          <c:dPt>
            <c:idx val="0"/>
            <c:invertIfNegative val="0"/>
            <c:bubble3D val="0"/>
            <c:spPr>
              <a:solidFill>
                <a:srgbClr val="FF0000"/>
              </a:solidFill>
              <a:ln w="15875">
                <a:solidFill>
                  <a:sysClr val="windowText" lastClr="000000"/>
                </a:solidFill>
              </a:ln>
              <a:effectLst/>
            </c:spPr>
            <c:extLst>
              <c:ext xmlns:c16="http://schemas.microsoft.com/office/drawing/2014/chart" uri="{C3380CC4-5D6E-409C-BE32-E72D297353CC}">
                <c16:uniqueId val="{00000001-6561-4004-9F39-C4307818C6BC}"/>
              </c:ext>
            </c:extLst>
          </c:dPt>
          <c:dPt>
            <c:idx val="1"/>
            <c:invertIfNegative val="0"/>
            <c:bubble3D val="0"/>
            <c:spPr>
              <a:solidFill>
                <a:srgbClr val="9BBB59"/>
              </a:solidFill>
              <a:ln w="15875">
                <a:solidFill>
                  <a:sysClr val="windowText" lastClr="000000"/>
                </a:solidFill>
              </a:ln>
              <a:effectLst/>
            </c:spPr>
            <c:extLst>
              <c:ext xmlns:c16="http://schemas.microsoft.com/office/drawing/2014/chart" uri="{C3380CC4-5D6E-409C-BE32-E72D297353CC}">
                <c16:uniqueId val="{00000003-6561-4004-9F39-C4307818C6BC}"/>
              </c:ext>
            </c:extLst>
          </c:dPt>
          <c:dPt>
            <c:idx val="2"/>
            <c:invertIfNegative val="0"/>
            <c:bubble3D val="0"/>
            <c:spPr>
              <a:solidFill>
                <a:srgbClr val="9BBB59"/>
              </a:solidFill>
              <a:ln w="15875">
                <a:solidFill>
                  <a:sysClr val="windowText" lastClr="000000"/>
                </a:solidFill>
              </a:ln>
              <a:effectLst/>
            </c:spPr>
            <c:extLst>
              <c:ext xmlns:c16="http://schemas.microsoft.com/office/drawing/2014/chart" uri="{C3380CC4-5D6E-409C-BE32-E72D297353CC}">
                <c16:uniqueId val="{00000005-6561-4004-9F39-C4307818C6BC}"/>
              </c:ext>
            </c:extLst>
          </c:dPt>
          <c:dLbls>
            <c:dLbl>
              <c:idx val="0"/>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1-6561-4004-9F39-C4307818C6BC}"/>
                </c:ext>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3-6561-4004-9F39-C4307818C6BC}"/>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6="http://schemas.microsoft.com/office/drawing/2014/chart" uri="{C3380CC4-5D6E-409C-BE32-E72D297353CC}">
                  <c16:uniqueId val="{00000005-6561-4004-9F39-C4307818C6BC}"/>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Títulos de deuda</c:v>
                </c:pt>
                <c:pt idx="1">
                  <c:v>Préstamos</c:v>
                </c:pt>
                <c:pt idx="2">
                  <c:v>Otras cuentas por pagar</c:v>
                </c:pt>
              </c:strCache>
            </c:strRef>
          </c:cat>
          <c:val>
            <c:numRef>
              <c:f>Hoja1!$B$2:$B$4</c:f>
              <c:numCache>
                <c:formatCode>_-* #,##0.0_-;\-* #,##0.0_-;_-* "-"??_-;_-@_-</c:formatCode>
                <c:ptCount val="3"/>
                <c:pt idx="0">
                  <c:v>5258.0775867800003</c:v>
                </c:pt>
                <c:pt idx="1">
                  <c:v>-1136.67647519</c:v>
                </c:pt>
                <c:pt idx="2">
                  <c:v>-68.591331199999999</c:v>
                </c:pt>
              </c:numCache>
            </c:numRef>
          </c:val>
          <c:extLst>
            <c:ext xmlns:c16="http://schemas.microsoft.com/office/drawing/2014/chart" uri="{C3380CC4-5D6E-409C-BE32-E72D297353CC}">
              <c16:uniqueId val="{00000006-6561-4004-9F39-C4307818C6BC}"/>
            </c:ext>
          </c:extLst>
        </c:ser>
        <c:dLbls>
          <c:dLblPos val="inEnd"/>
          <c:showLegendKey val="0"/>
          <c:showVal val="1"/>
          <c:showCatName val="0"/>
          <c:showSerName val="0"/>
          <c:showPercent val="0"/>
          <c:showBubbleSize val="0"/>
        </c:dLbls>
        <c:gapWidth val="119"/>
        <c:overlap val="-48"/>
        <c:axId val="152972768"/>
        <c:axId val="152984368"/>
      </c:barChart>
      <c:catAx>
        <c:axId val="1529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84368"/>
        <c:crosses val="autoZero"/>
        <c:auto val="1"/>
        <c:lblAlgn val="ctr"/>
        <c:lblOffset val="100"/>
        <c:noMultiLvlLbl val="0"/>
      </c:catAx>
      <c:valAx>
        <c:axId val="152984368"/>
        <c:scaling>
          <c:orientation val="minMax"/>
          <c:min val="-6000"/>
        </c:scaling>
        <c:delete val="0"/>
        <c:axPos val="b"/>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2768"/>
        <c:crosses val="autoZero"/>
        <c:crossBetween val="between"/>
        <c:minorUnit val="600"/>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b="1" i="0" baseline="0">
                <a:effectLst/>
              </a:rPr>
              <a:t>Erogaciones por Función del Gobierno</a:t>
            </a:r>
            <a:endParaRPr lang="es-GT" sz="1200">
              <a:effectLst/>
            </a:endParaRPr>
          </a:p>
          <a:p>
            <a:pPr>
              <a:defRPr sz="1200">
                <a:solidFill>
                  <a:sysClr val="windowText" lastClr="000000"/>
                </a:solidFill>
              </a:defRPr>
            </a:pPr>
            <a:r>
              <a:rPr lang="es-GT" sz="1100" b="1" i="0" baseline="0">
                <a:effectLst/>
              </a:rPr>
              <a:t>Variaciones interanuales acumuladas a septiembre de cada año </a:t>
            </a:r>
            <a:endParaRPr lang="es-GT" sz="1100">
              <a:effectLst/>
            </a:endParaRPr>
          </a:p>
          <a:p>
            <a:pPr>
              <a:defRPr sz="120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15600947645293534"/>
          <c:y val="0"/>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2780253795046432"/>
          <c:y val="0.17276338614921291"/>
          <c:w val="0.68935531496062996"/>
          <c:h val="0.73326465334339352"/>
        </c:manualLayout>
      </c:layout>
      <c:barChart>
        <c:barDir val="bar"/>
        <c:grouping val="clustered"/>
        <c:varyColors val="0"/>
        <c:ser>
          <c:idx val="0"/>
          <c:order val="0"/>
          <c:tx>
            <c:strRef>
              <c:f>Hoja1!$B$1</c:f>
              <c:strCache>
                <c:ptCount val="1"/>
                <c:pt idx="0">
                  <c:v>2023*</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0"/>
                  <c:y val="4.00209100020999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D1-4755-ACDE-69CE0C6C75B8}"/>
                </c:ext>
              </c:extLst>
            </c:dLbl>
            <c:dLbl>
              <c:idx val="2"/>
              <c:layout>
                <c:manualLayout>
                  <c:x val="-1.5692806802952098E-16"/>
                  <c:y val="-2.00336920212777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D1-4755-ACDE-69CE0C6C75B8}"/>
                </c:ext>
              </c:extLst>
            </c:dLbl>
            <c:dLbl>
              <c:idx val="3"/>
              <c:layout>
                <c:manualLayout>
                  <c:x val="0"/>
                  <c:y val="1.9170330981354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D1-4755-ACDE-69CE0C6C75B8}"/>
                </c:ext>
              </c:extLst>
            </c:dLbl>
            <c:dLbl>
              <c:idx val="8"/>
              <c:layout>
                <c:manualLayout>
                  <c:x val="-7.846403401476049E-17"/>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D1-4755-ACDE-69CE0C6C75B8}"/>
                </c:ext>
              </c:extLst>
            </c:dLbl>
            <c:dLbl>
              <c:idx val="9"/>
              <c:layout>
                <c:manualLayout>
                  <c:x val="-6.9443999791059712E-3"/>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D1-4755-ACDE-69CE0C6C75B8}"/>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Educación </c:v>
                </c:pt>
                <c:pt idx="1">
                  <c:v>Protección social </c:v>
                </c:pt>
                <c:pt idx="2">
                  <c:v>Servicios públicos generales </c:v>
                </c:pt>
                <c:pt idx="3">
                  <c:v>Orden público y seguridad </c:v>
                </c:pt>
                <c:pt idx="4">
                  <c:v>Vivienda y servicios comunitarios </c:v>
                </c:pt>
                <c:pt idx="5">
                  <c:v>Actividades recreativas, cultura y religión </c:v>
                </c:pt>
                <c:pt idx="6">
                  <c:v>Protección del medio ambiente </c:v>
                </c:pt>
                <c:pt idx="7">
                  <c:v>Asuntos económicos </c:v>
                </c:pt>
                <c:pt idx="8">
                  <c:v>Defensa </c:v>
                </c:pt>
                <c:pt idx="9">
                  <c:v>Salud </c:v>
                </c:pt>
              </c:strCache>
            </c:strRef>
          </c:cat>
          <c:val>
            <c:numRef>
              <c:f>Hoja1!$B$2:$B$11</c:f>
              <c:numCache>
                <c:formatCode>_(* #,##0.00_);_(* \(#,##0.00\);_(* "-"??_);_(@_)</c:formatCode>
                <c:ptCount val="10"/>
                <c:pt idx="0">
                  <c:v>2264.2207114299999</c:v>
                </c:pt>
                <c:pt idx="1">
                  <c:v>2147.3933078900009</c:v>
                </c:pt>
                <c:pt idx="2">
                  <c:v>1992.8964546200004</c:v>
                </c:pt>
                <c:pt idx="3">
                  <c:v>1228.8488843600007</c:v>
                </c:pt>
                <c:pt idx="4">
                  <c:v>1200.3803592400009</c:v>
                </c:pt>
                <c:pt idx="5">
                  <c:v>317.91803356999969</c:v>
                </c:pt>
                <c:pt idx="6">
                  <c:v>150.68466066999997</c:v>
                </c:pt>
                <c:pt idx="7">
                  <c:v>-41.914286030001676</c:v>
                </c:pt>
                <c:pt idx="8">
                  <c:v>-109.15372389000004</c:v>
                </c:pt>
                <c:pt idx="9">
                  <c:v>-233.87941820999913</c:v>
                </c:pt>
              </c:numCache>
            </c:numRef>
          </c:val>
          <c:extLst>
            <c:ext xmlns:c16="http://schemas.microsoft.com/office/drawing/2014/chart" uri="{C3380CC4-5D6E-409C-BE32-E72D297353CC}">
              <c16:uniqueId val="{00000005-94D1-4755-ACDE-69CE0C6C75B8}"/>
            </c:ext>
          </c:extLst>
        </c:ser>
        <c:ser>
          <c:idx val="1"/>
          <c:order val="1"/>
          <c:tx>
            <c:strRef>
              <c:f>Hoja1!$C$1</c:f>
              <c:strCache>
                <c:ptCount val="1"/>
                <c:pt idx="0">
                  <c:v>2022</c:v>
                </c:pt>
              </c:strCache>
            </c:strRef>
          </c:tx>
          <c:spPr>
            <a:solidFill>
              <a:schemeClr val="accent2"/>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2.1399529210357373E-3"/>
                  <c:y val="-1.1348590883298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8D-48AF-B715-7CD896620D97}"/>
                </c:ext>
              </c:extLst>
            </c:dLbl>
            <c:dLbl>
              <c:idx val="1"/>
              <c:layout>
                <c:manualLayout>
                  <c:x val="0"/>
                  <c:y val="-4.41111601235128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D1-4755-ACDE-69CE0C6C75B8}"/>
                </c:ext>
              </c:extLst>
            </c:dLbl>
            <c:dLbl>
              <c:idx val="2"/>
              <c:layout>
                <c:manualLayout>
                  <c:x val="0"/>
                  <c:y val="-1.1245431543435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D1-4755-ACDE-69CE0C6C75B8}"/>
                </c:ext>
              </c:extLst>
            </c:dLbl>
            <c:dLbl>
              <c:idx val="3"/>
              <c:layout>
                <c:manualLayout>
                  <c:x val="-7.846403401476049E-17"/>
                  <c:y val="-5.62271577171784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D1-4755-ACDE-69CE0C6C75B8}"/>
                </c:ext>
              </c:extLst>
            </c:dLbl>
            <c:dLbl>
              <c:idx val="4"/>
              <c:layout>
                <c:manualLayout>
                  <c:x val="-1.5692806802952098E-16"/>
                  <c:y val="-8.4340736575767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D1-4755-ACDE-69CE0C6C75B8}"/>
                </c:ext>
              </c:extLst>
            </c:dLbl>
            <c:dLbl>
              <c:idx val="5"/>
              <c:layout>
                <c:manualLayout>
                  <c:x val="-7.846403401476049E-17"/>
                  <c:y val="-1.7316017316017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D1-4755-ACDE-69CE0C6C75B8}"/>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Hoja1!$A$2:$A$11</c:f>
              <c:strCache>
                <c:ptCount val="10"/>
                <c:pt idx="0">
                  <c:v>Educación </c:v>
                </c:pt>
                <c:pt idx="1">
                  <c:v>Protección social </c:v>
                </c:pt>
                <c:pt idx="2">
                  <c:v>Servicios públicos generales </c:v>
                </c:pt>
                <c:pt idx="3">
                  <c:v>Orden público y seguridad </c:v>
                </c:pt>
                <c:pt idx="4">
                  <c:v>Vivienda y servicios comunitarios </c:v>
                </c:pt>
                <c:pt idx="5">
                  <c:v>Actividades recreativas, cultura y religión </c:v>
                </c:pt>
                <c:pt idx="6">
                  <c:v>Protección del medio ambiente </c:v>
                </c:pt>
                <c:pt idx="7">
                  <c:v>Asuntos económicos </c:v>
                </c:pt>
                <c:pt idx="8">
                  <c:v>Defensa </c:v>
                </c:pt>
                <c:pt idx="9">
                  <c:v>Salud </c:v>
                </c:pt>
              </c:strCache>
            </c:strRef>
          </c:cat>
          <c:val>
            <c:numRef>
              <c:f>Hoja1!$C$2:$C$11</c:f>
              <c:numCache>
                <c:formatCode>_(* #,##0.00_);_(* \(#,##0.00\);_(* "-"??_);_(@_)</c:formatCode>
                <c:ptCount val="10"/>
                <c:pt idx="0">
                  <c:v>2254.2270253200022</c:v>
                </c:pt>
                <c:pt idx="1">
                  <c:v>500.07037532999948</c:v>
                </c:pt>
                <c:pt idx="2">
                  <c:v>1498.4053559999975</c:v>
                </c:pt>
                <c:pt idx="3">
                  <c:v>1133.6656473800003</c:v>
                </c:pt>
                <c:pt idx="4">
                  <c:v>1043.3247992900006</c:v>
                </c:pt>
                <c:pt idx="5">
                  <c:v>83.395170190000044</c:v>
                </c:pt>
                <c:pt idx="6">
                  <c:v>133.89821829000005</c:v>
                </c:pt>
                <c:pt idx="7">
                  <c:v>2678.6448197499994</c:v>
                </c:pt>
                <c:pt idx="8">
                  <c:v>436.73318249999966</c:v>
                </c:pt>
                <c:pt idx="9">
                  <c:v>833.46738430999903</c:v>
                </c:pt>
              </c:numCache>
            </c:numRef>
          </c:val>
          <c:extLst>
            <c:ext xmlns:c16="http://schemas.microsoft.com/office/drawing/2014/chart" uri="{C3380CC4-5D6E-409C-BE32-E72D297353CC}">
              <c16:uniqueId val="{0000000B-94D1-4755-ACDE-69CE0C6C75B8}"/>
            </c:ext>
          </c:extLst>
        </c:ser>
        <c:dLbls>
          <c:showLegendKey val="0"/>
          <c:showVal val="0"/>
          <c:showCatName val="0"/>
          <c:showSerName val="0"/>
          <c:showPercent val="0"/>
          <c:showBubbleSize val="0"/>
        </c:dLbls>
        <c:gapWidth val="247"/>
        <c:axId val="1170388288"/>
        <c:axId val="1181658512"/>
      </c:barChart>
      <c:catAx>
        <c:axId val="1170388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81658512"/>
        <c:crosses val="autoZero"/>
        <c:auto val="1"/>
        <c:lblAlgn val="ctr"/>
        <c:lblOffset val="100"/>
        <c:noMultiLvlLbl val="0"/>
      </c:catAx>
      <c:valAx>
        <c:axId val="1181658512"/>
        <c:scaling>
          <c:orientation val="minMax"/>
        </c:scaling>
        <c:delete val="0"/>
        <c:axPos val="b"/>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038828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88411598881832476"/>
          <c:y val="0.15975768089229811"/>
          <c:w val="7.7978873441162236E-2"/>
          <c:h val="7.5834611582643083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000" b="1" i="0">
                <a:effectLst/>
              </a:rPr>
              <a:t>𝐆𝐫𝐚𝐝𝐨 𝐝𝐞 𝐄𝐣𝐞𝐜𝐮𝐜𝐢ó𝐧 𝐩𝐨𝐫 𝐄𝐧𝐭𝐢𝐝𝐚𝐝 </a:t>
            </a:r>
            <a:r>
              <a:rPr lang="es-MX" sz="1000" b="1" i="0" baseline="30000">
                <a:effectLst/>
              </a:rPr>
              <a:t>𝟏/</a:t>
            </a:r>
            <a:endParaRPr lang="es-GT" sz="1000" baseline="30000">
              <a:effectLst/>
            </a:endParaRPr>
          </a:p>
          <a:p>
            <a:pPr>
              <a:defRPr sz="1000"/>
            </a:pPr>
            <a:r>
              <a:rPr lang="es-MX" sz="1000" b="1">
                <a:effectLst/>
              </a:rPr>
              <a:t>Cifras a</a:t>
            </a:r>
            <a:r>
              <a:rPr lang="es-MX" sz="1000" b="1" baseline="0">
                <a:effectLst/>
              </a:rPr>
              <a:t> septiembre </a:t>
            </a:r>
            <a:r>
              <a:rPr lang="es-MX" sz="1000" b="1">
                <a:effectLst/>
              </a:rPr>
              <a:t>de 2023*</a:t>
            </a:r>
            <a:endParaRPr lang="es-GT" sz="1000">
              <a:effectLst/>
            </a:endParaRPr>
          </a:p>
          <a:p>
            <a:pPr>
              <a:defRPr sz="1000"/>
            </a:pPr>
            <a:r>
              <a:rPr lang="es-MX" sz="1000">
                <a:effectLst/>
              </a:rPr>
              <a:t>En porcentajes</a:t>
            </a:r>
            <a:endParaRPr lang="es-GT" sz="1000">
              <a:effectLst/>
            </a:endParaRPr>
          </a:p>
        </c:rich>
      </c:tx>
      <c:layout>
        <c:manualLayout>
          <c:xMode val="edge"/>
          <c:yMode val="edge"/>
          <c:x val="0.12396123862593236"/>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30639727081094731"/>
          <c:y val="8.434793149252752E-2"/>
          <c:w val="0.96086113161048337"/>
          <c:h val="0.8076740086770744"/>
        </c:manualLayout>
      </c:layout>
      <c:barChart>
        <c:barDir val="bar"/>
        <c:grouping val="clustered"/>
        <c:varyColors val="0"/>
        <c:ser>
          <c:idx val="0"/>
          <c:order val="0"/>
          <c:tx>
            <c:strRef>
              <c:f>Sheet1!$B$1</c:f>
              <c:strCache>
                <c:ptCount val="1"/>
                <c:pt idx="0">
                  <c:v>%</c:v>
                </c:pt>
              </c:strCache>
            </c:strRef>
          </c:tx>
          <c:spPr>
            <a:solidFill>
              <a:schemeClr val="accent3">
                <a:lumMod val="40000"/>
                <a:lumOff val="60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invertIfNegative val="0"/>
          <c:dPt>
            <c:idx val="3"/>
            <c:invertIfNegative val="0"/>
            <c:bubble3D val="0"/>
            <c:extLst>
              <c:ext xmlns:c16="http://schemas.microsoft.com/office/drawing/2014/chart" uri="{C3380CC4-5D6E-409C-BE32-E72D297353CC}">
                <c16:uniqueId val="{00000000-44E5-409F-97B9-9B8F19964725}"/>
              </c:ext>
            </c:extLst>
          </c:dPt>
          <c:dPt>
            <c:idx val="7"/>
            <c:invertIfNegative val="0"/>
            <c:bubble3D val="0"/>
            <c:extLst>
              <c:ext xmlns:c16="http://schemas.microsoft.com/office/drawing/2014/chart" uri="{C3380CC4-5D6E-409C-BE32-E72D297353CC}">
                <c16:uniqueId val="{00000001-44E5-409F-97B9-9B8F19964725}"/>
              </c:ext>
            </c:extLst>
          </c:dPt>
          <c:dPt>
            <c:idx val="8"/>
            <c:invertIfNegative val="0"/>
            <c:bubble3D val="0"/>
            <c:extLst>
              <c:ext xmlns:c16="http://schemas.microsoft.com/office/drawing/2014/chart" uri="{C3380CC4-5D6E-409C-BE32-E72D297353CC}">
                <c16:uniqueId val="{00000002-44E5-409F-97B9-9B8F19964725}"/>
              </c:ext>
            </c:extLst>
          </c:dPt>
          <c:dPt>
            <c:idx val="9"/>
            <c:invertIfNegative val="0"/>
            <c:bubble3D val="0"/>
            <c:spPr>
              <a:solidFill>
                <a:schemeClr val="accent3">
                  <a:lumMod val="50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extLst>
              <c:ext xmlns:c16="http://schemas.microsoft.com/office/drawing/2014/chart" uri="{C3380CC4-5D6E-409C-BE32-E72D297353CC}">
                <c16:uniqueId val="{00000004-44E5-409F-97B9-9B8F19964725}"/>
              </c:ext>
            </c:extLst>
          </c:dPt>
          <c:dPt>
            <c:idx val="10"/>
            <c:invertIfNegative val="0"/>
            <c:bubble3D val="0"/>
            <c:extLst>
              <c:ext xmlns:c16="http://schemas.microsoft.com/office/drawing/2014/chart" uri="{C3380CC4-5D6E-409C-BE32-E72D297353CC}">
                <c16:uniqueId val="{00000005-44E5-409F-97B9-9B8F19964725}"/>
              </c:ext>
            </c:extLst>
          </c:dPt>
          <c:dPt>
            <c:idx val="11"/>
            <c:invertIfNegative val="0"/>
            <c:bubble3D val="0"/>
            <c:spPr>
              <a:solidFill>
                <a:schemeClr val="accent3">
                  <a:lumMod val="60000"/>
                  <a:lumOff val="40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extLst>
              <c:ext xmlns:c16="http://schemas.microsoft.com/office/drawing/2014/chart" uri="{C3380CC4-5D6E-409C-BE32-E72D297353CC}">
                <c16:uniqueId val="{00000007-44E5-409F-97B9-9B8F19964725}"/>
              </c:ext>
            </c:extLst>
          </c:dPt>
          <c:dPt>
            <c:idx val="12"/>
            <c:invertIfNegative val="0"/>
            <c:bubble3D val="0"/>
            <c:extLst>
              <c:ext xmlns:c16="http://schemas.microsoft.com/office/drawing/2014/chart" uri="{C3380CC4-5D6E-409C-BE32-E72D297353CC}">
                <c16:uniqueId val="{00000008-44E5-409F-97B9-9B8F19964725}"/>
              </c:ext>
            </c:extLst>
          </c:dPt>
          <c:dPt>
            <c:idx val="13"/>
            <c:invertIfNegative val="0"/>
            <c:bubble3D val="0"/>
            <c:extLst>
              <c:ext xmlns:c16="http://schemas.microsoft.com/office/drawing/2014/chart" uri="{C3380CC4-5D6E-409C-BE32-E72D297353CC}">
                <c16:uniqueId val="{00000009-44E5-409F-97B9-9B8F19964725}"/>
              </c:ext>
            </c:extLst>
          </c:dPt>
          <c:dLbls>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4-44E5-409F-97B9-9B8F199647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Ambiente </c:v>
                </c:pt>
                <c:pt idx="1">
                  <c:v>Economía</c:v>
                </c:pt>
                <c:pt idx="2">
                  <c:v>Finanzas</c:v>
                </c:pt>
                <c:pt idx="3">
                  <c:v>Trabajo </c:v>
                </c:pt>
                <c:pt idx="4">
                  <c:v>Obligaciones </c:v>
                </c:pt>
                <c:pt idx="5">
                  <c:v>Salud Pública </c:v>
                </c:pt>
                <c:pt idx="6">
                  <c:v>Desarrollo</c:v>
                </c:pt>
                <c:pt idx="7">
                  <c:v>Secretarías</c:v>
                </c:pt>
                <c:pt idx="8">
                  <c:v>Agricultura</c:v>
                </c:pt>
                <c:pt idx="9">
                  <c:v>Total</c:v>
                </c:pt>
                <c:pt idx="10">
                  <c:v>Defensa </c:v>
                </c:pt>
                <c:pt idx="11">
                  <c:v>Gobernación</c:v>
                </c:pt>
                <c:pt idx="12">
                  <c:v>Presidencia</c:v>
                </c:pt>
                <c:pt idx="13">
                  <c:v>MINREX</c:v>
                </c:pt>
                <c:pt idx="14">
                  <c:v>PGN</c:v>
                </c:pt>
                <c:pt idx="15">
                  <c:v>Deuda Pública</c:v>
                </c:pt>
                <c:pt idx="16">
                  <c:v>Educación </c:v>
                </c:pt>
                <c:pt idx="17">
                  <c:v>Cultura</c:v>
                </c:pt>
                <c:pt idx="18">
                  <c:v>Comunicaciones</c:v>
                </c:pt>
                <c:pt idx="19">
                  <c:v>Energía</c:v>
                </c:pt>
              </c:strCache>
            </c:strRef>
          </c:cat>
          <c:val>
            <c:numRef>
              <c:f>Sheet1!$B$2:$B$21</c:f>
              <c:numCache>
                <c:formatCode>0.0</c:formatCode>
                <c:ptCount val="20"/>
                <c:pt idx="0">
                  <c:v>61.119433197500229</c:v>
                </c:pt>
                <c:pt idx="1">
                  <c:v>64.07919997678276</c:v>
                </c:pt>
                <c:pt idx="2">
                  <c:v>64.250114198383471</c:v>
                </c:pt>
                <c:pt idx="3">
                  <c:v>64.721770290790857</c:v>
                </c:pt>
                <c:pt idx="4">
                  <c:v>66.968105764519308</c:v>
                </c:pt>
                <c:pt idx="5">
                  <c:v>67.838395900146281</c:v>
                </c:pt>
                <c:pt idx="6">
                  <c:v>68.335132768070835</c:v>
                </c:pt>
                <c:pt idx="7">
                  <c:v>68.734753916960372</c:v>
                </c:pt>
                <c:pt idx="8">
                  <c:v>69.229254557217786</c:v>
                </c:pt>
                <c:pt idx="9">
                  <c:v>70.612795415938677</c:v>
                </c:pt>
                <c:pt idx="10">
                  <c:v>70.639008563235265</c:v>
                </c:pt>
                <c:pt idx="11">
                  <c:v>70.74712948248181</c:v>
                </c:pt>
                <c:pt idx="12">
                  <c:v>71.119901249081551</c:v>
                </c:pt>
                <c:pt idx="13">
                  <c:v>71.274910046209811</c:v>
                </c:pt>
                <c:pt idx="14">
                  <c:v>71.328753955436497</c:v>
                </c:pt>
                <c:pt idx="15">
                  <c:v>72.172837591122502</c:v>
                </c:pt>
                <c:pt idx="16">
                  <c:v>74.171530753915448</c:v>
                </c:pt>
                <c:pt idx="17">
                  <c:v>75.647463939271887</c:v>
                </c:pt>
                <c:pt idx="18">
                  <c:v>81.72685001052271</c:v>
                </c:pt>
                <c:pt idx="19">
                  <c:v>88.424906903812584</c:v>
                </c:pt>
              </c:numCache>
            </c:numRef>
          </c:val>
          <c:extLst>
            <c:ext xmlns:c16="http://schemas.microsoft.com/office/drawing/2014/chart" uri="{C3380CC4-5D6E-409C-BE32-E72D297353CC}">
              <c16:uniqueId val="{0000000A-44E5-409F-97B9-9B8F19964725}"/>
            </c:ext>
          </c:extLst>
        </c:ser>
        <c:dLbls>
          <c:showLegendKey val="0"/>
          <c:showVal val="0"/>
          <c:showCatName val="0"/>
          <c:showSerName val="0"/>
          <c:showPercent val="0"/>
          <c:showBubbleSize val="0"/>
        </c:dLbls>
        <c:gapWidth val="99"/>
        <c:axId val="584502968"/>
        <c:axId val="584496080"/>
      </c:barChart>
      <c:catAx>
        <c:axId val="58450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496080"/>
        <c:crosses val="autoZero"/>
        <c:auto val="1"/>
        <c:lblAlgn val="ctr"/>
        <c:lblOffset val="100"/>
        <c:noMultiLvlLbl val="0"/>
      </c:catAx>
      <c:valAx>
        <c:axId val="58449608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502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Ingresos Totales por clasificación MEFP</a:t>
            </a:r>
          </a:p>
          <a:p>
            <a:pPr>
              <a:defRPr/>
            </a:pPr>
            <a:r>
              <a:rPr lang="en-US" sz="1100" b="1">
                <a:solidFill>
                  <a:sysClr val="windowText" lastClr="000000"/>
                </a:solidFill>
              </a:rPr>
              <a:t>Variación interanual acumulada a septiembre</a:t>
            </a:r>
            <a:r>
              <a:rPr lang="en-US" sz="1100" b="1" baseline="0">
                <a:solidFill>
                  <a:sysClr val="windowText" lastClr="000000"/>
                </a:solidFill>
              </a:rPr>
              <a:t> </a:t>
            </a:r>
            <a:r>
              <a:rPr lang="en-US" sz="1100" b="1">
                <a:solidFill>
                  <a:sysClr val="windowText" lastClr="000000"/>
                </a:solidFill>
              </a:rPr>
              <a:t>2023*</a:t>
            </a:r>
          </a:p>
          <a:p>
            <a:pPr>
              <a:defRPr/>
            </a:pPr>
            <a:r>
              <a:rPr lang="en-US" sz="1000" b="0">
                <a:solidFill>
                  <a:sysClr val="windowText" lastClr="000000"/>
                </a:solidFill>
              </a:rPr>
              <a:t>En millones de Quetzales</a:t>
            </a:r>
          </a:p>
        </c:rich>
      </c:tx>
      <c:layout>
        <c:manualLayout>
          <c:xMode val="edge"/>
          <c:yMode val="edge"/>
          <c:x val="0.26254132099927324"/>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4.0408336877924285E-2"/>
          <c:y val="0.29378602427171852"/>
          <c:w val="0.94778901254952663"/>
          <c:h val="0.57796990722694319"/>
        </c:manualLayout>
      </c:layout>
      <c:barChart>
        <c:barDir val="col"/>
        <c:grouping val="clustered"/>
        <c:varyColors val="0"/>
        <c:ser>
          <c:idx val="0"/>
          <c:order val="0"/>
          <c:tx>
            <c:strRef>
              <c:f>Hoja1!$B$1</c:f>
              <c:strCache>
                <c:ptCount val="1"/>
                <c:pt idx="0">
                  <c:v>Diferencia acumulada en Q</c:v>
                </c:pt>
              </c:strCache>
            </c:strRef>
          </c:tx>
          <c:spPr>
            <a:solidFill>
              <a:srgbClr val="1F497D"/>
            </a:solidFill>
            <a:ln>
              <a:solidFill>
                <a:schemeClr val="tx1"/>
              </a:solidFill>
            </a:ln>
            <a:effectLst>
              <a:outerShdw blurRad="50800" dist="38100" dir="18900000" algn="bl" rotWithShape="0">
                <a:prstClr val="black">
                  <a:alpha val="40000"/>
                </a:prstClr>
              </a:outerShdw>
            </a:effectLst>
          </c:spPr>
          <c:invertIfNegative val="1"/>
          <c:dPt>
            <c:idx val="0"/>
            <c:invertIfNegative val="1"/>
            <c:bubble3D val="0"/>
            <c:spPr>
              <a:solidFill>
                <a:schemeClr val="tx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87A6-4C68-88CD-2C6CC3BED143}"/>
              </c:ext>
            </c:extLst>
          </c:dPt>
          <c:dPt>
            <c:idx val="3"/>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87A6-4C68-88CD-2C6CC3BED143}"/>
              </c:ext>
            </c:extLst>
          </c:dPt>
          <c:dPt>
            <c:idx val="4"/>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87A6-4C68-88CD-2C6CC3BED143}"/>
              </c:ext>
            </c:extLst>
          </c:dPt>
          <c:dLbls>
            <c:dLbl>
              <c:idx val="4"/>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extLst>
                <c:ext xmlns:c16="http://schemas.microsoft.com/office/drawing/2014/chart" uri="{C3380CC4-5D6E-409C-BE32-E72D297353CC}">
                  <c16:uniqueId val="{00000005-87A6-4C68-88CD-2C6CC3BED143}"/>
                </c:ext>
              </c:extLst>
            </c:dLbl>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Hoja1!$A$2:$A$6</c:f>
              <c:strCache>
                <c:ptCount val="5"/>
                <c:pt idx="0">
                  <c:v>Impuestos </c:v>
                </c:pt>
                <c:pt idx="1">
                  <c:v>Contribuciones sociales </c:v>
                </c:pt>
                <c:pt idx="2">
                  <c:v>Otros ingresos </c:v>
                </c:pt>
                <c:pt idx="3">
                  <c:v>Donaciones </c:v>
                </c:pt>
                <c:pt idx="4">
                  <c:v>Ingresos Totales</c:v>
                </c:pt>
              </c:strCache>
            </c:strRef>
          </c:cat>
          <c:val>
            <c:numRef>
              <c:f>Hoja1!$B$2:$B$6</c:f>
              <c:numCache>
                <c:formatCode>#,##0.0_ ;[Red]\-#,##0.0\ </c:formatCode>
                <c:ptCount val="5"/>
                <c:pt idx="0">
                  <c:v>5331.0018730700031</c:v>
                </c:pt>
                <c:pt idx="1">
                  <c:v>671.09887311000057</c:v>
                </c:pt>
                <c:pt idx="2">
                  <c:v>547.03790900999957</c:v>
                </c:pt>
                <c:pt idx="3">
                  <c:v>-56.513583209999993</c:v>
                </c:pt>
                <c:pt idx="4">
                  <c:v>6492.6250719800028</c:v>
                </c:pt>
              </c:numCache>
            </c:numRef>
          </c:val>
          <c:extLst>
            <c:ext xmlns:c14="http://schemas.microsoft.com/office/drawing/2007/8/2/chart" uri="{6F2FDCE9-48DA-4B69-8628-5D25D57E5C99}">
              <c14:invertSolidFillFmt>
                <c14:spPr xmlns:c14="http://schemas.microsoft.com/office/drawing/2007/8/2/chart">
                  <a:solidFill>
                    <a:srgbClr val="C0504D"/>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6-87A6-4C68-88CD-2C6CC3BED143}"/>
            </c:ext>
          </c:extLst>
        </c:ser>
        <c:dLbls>
          <c:showLegendKey val="0"/>
          <c:showVal val="0"/>
          <c:showCatName val="0"/>
          <c:showSerName val="0"/>
          <c:showPercent val="0"/>
          <c:showBubbleSize val="0"/>
        </c:dLbls>
        <c:gapWidth val="267"/>
        <c:axId val="415018800"/>
        <c:axId val="408568416"/>
      </c:barChart>
      <c:catAx>
        <c:axId val="4150188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8568416"/>
        <c:crosses val="autoZero"/>
        <c:auto val="1"/>
        <c:lblAlgn val="ctr"/>
        <c:lblOffset val="100"/>
        <c:noMultiLvlLbl val="0"/>
      </c:catAx>
      <c:valAx>
        <c:axId val="408568416"/>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1501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1" i="0" baseline="0">
                <a:effectLst/>
              </a:rPr>
              <a:t>Impuestos por clasificación MEFP</a:t>
            </a:r>
            <a:endParaRPr lang="es-GT" sz="1100">
              <a:effectLst/>
            </a:endParaRPr>
          </a:p>
          <a:p>
            <a:pPr>
              <a:defRPr sz="1200" b="0">
                <a:solidFill>
                  <a:sysClr val="windowText" lastClr="000000"/>
                </a:solidFill>
              </a:defRPr>
            </a:pPr>
            <a:r>
              <a:rPr lang="es-GT" sz="1100" b="1" i="0" baseline="0">
                <a:effectLst/>
              </a:rPr>
              <a:t>Variación interanual acumulada </a:t>
            </a:r>
          </a:p>
          <a:p>
            <a:pPr>
              <a:defRPr sz="1200" b="0">
                <a:solidFill>
                  <a:sysClr val="windowText" lastClr="000000"/>
                </a:solidFill>
              </a:defRPr>
            </a:pPr>
            <a:r>
              <a:rPr lang="es-GT" sz="1050" b="1" i="0" baseline="0">
                <a:effectLst/>
              </a:rPr>
              <a:t>a septiembre de cada año </a:t>
            </a:r>
            <a:endParaRPr lang="es-GT" sz="1050">
              <a:effectLst/>
            </a:endParaRPr>
          </a:p>
          <a:p>
            <a:pPr>
              <a:defRPr sz="1200" b="0">
                <a:solidFill>
                  <a:sysClr val="windowText" lastClr="000000"/>
                </a:solidFill>
              </a:defRPr>
            </a:pPr>
            <a:r>
              <a:rPr lang="es-GT" sz="1000" b="0" i="0" baseline="0">
                <a:effectLst/>
              </a:rPr>
              <a:t>En millones de quetzales</a:t>
            </a:r>
            <a:endParaRPr lang="es-GT" sz="1000">
              <a:effectLst/>
            </a:endParaRPr>
          </a:p>
        </c:rich>
      </c:tx>
      <c:layout>
        <c:manualLayout>
          <c:xMode val="edge"/>
          <c:yMode val="edge"/>
          <c:x val="0.12525042970608533"/>
          <c:y val="1.507709625468791E-3"/>
        </c:manualLayout>
      </c:layout>
      <c:overlay val="0"/>
      <c:spPr>
        <a:noFill/>
        <a:ln>
          <a:noFill/>
        </a:ln>
        <a:effectLst/>
      </c:spPr>
      <c:txPr>
        <a:bodyPr rot="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61045185164575277"/>
          <c:y val="0.16682036092005872"/>
          <c:w val="0.32196725188503383"/>
          <c:h val="0.75006887044456072"/>
        </c:manualLayout>
      </c:layout>
      <c:barChart>
        <c:barDir val="bar"/>
        <c:grouping val="clustered"/>
        <c:varyColors val="0"/>
        <c:ser>
          <c:idx val="0"/>
          <c:order val="0"/>
          <c:tx>
            <c:strRef>
              <c:f>Hoja1!$B$1</c:f>
              <c:strCache>
                <c:ptCount val="1"/>
                <c:pt idx="0">
                  <c:v>2023*</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00B0F0"/>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6035-4FD0-8846-C058D9E2CEE6}"/>
              </c:ext>
            </c:extLst>
          </c:dPt>
          <c:dLbls>
            <c:dLbl>
              <c:idx val="0"/>
              <c:layout>
                <c:manualLayout>
                  <c:x val="3.8995856690226482E-2"/>
                  <c:y val="-1.916938601233699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35-4FD0-8846-C058D9E2CEE6}"/>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accent1"/>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Impuestos Totales</c:v>
                </c:pt>
                <c:pt idx="1">
                  <c:v>Impuestos sobre el ingreso, las utilidades y las ganancias de capital </c:v>
                </c:pt>
                <c:pt idx="2">
                  <c:v>Impuestos sobre los bienes y servicios </c:v>
                </c:pt>
                <c:pt idx="3">
                  <c:v>Impuestos sobre el comercio y las transacciones internacionales </c:v>
                </c:pt>
                <c:pt idx="4">
                  <c:v>Impuestos sobre la propiedad </c:v>
                </c:pt>
                <c:pt idx="5">
                  <c:v>Otros impuestos </c:v>
                </c:pt>
              </c:strCache>
            </c:strRef>
          </c:cat>
          <c:val>
            <c:numRef>
              <c:f>Hoja1!$B$2:$B$7</c:f>
              <c:numCache>
                <c:formatCode>#,##0.0_ ;[Red]\-#,##0.0\ </c:formatCode>
                <c:ptCount val="6"/>
                <c:pt idx="0" formatCode="_(* #,##0.00_);_(* \(#,##0.00\);_(* &quot;-&quot;??_);_(@_)">
                  <c:v>5331.0018730700003</c:v>
                </c:pt>
                <c:pt idx="1">
                  <c:v>2706.6328116700024</c:v>
                </c:pt>
                <c:pt idx="2">
                  <c:v>2429.2985288499985</c:v>
                </c:pt>
                <c:pt idx="3">
                  <c:v>203.03702946999965</c:v>
                </c:pt>
                <c:pt idx="4">
                  <c:v>-2.5543600599999969</c:v>
                </c:pt>
                <c:pt idx="5">
                  <c:v>-5.4121368600000892</c:v>
                </c:pt>
              </c:numCache>
            </c:numRef>
          </c:val>
          <c:extLst>
            <c:ext xmlns:c16="http://schemas.microsoft.com/office/drawing/2014/chart" uri="{C3380CC4-5D6E-409C-BE32-E72D297353CC}">
              <c16:uniqueId val="{00000002-6035-4FD0-8846-C058D9E2CEE6}"/>
            </c:ext>
          </c:extLst>
        </c:ser>
        <c:ser>
          <c:idx val="1"/>
          <c:order val="1"/>
          <c:tx>
            <c:strRef>
              <c:f>Hoja1!$C$1</c:f>
              <c:strCache>
                <c:ptCount val="1"/>
                <c:pt idx="0">
                  <c:v>2022</c:v>
                </c:pt>
              </c:strCache>
            </c:strRef>
          </c:tx>
          <c:spPr>
            <a:solidFill>
              <a:srgbClr val="9BBB59"/>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9BBB59">
                  <a:lumMod val="60000"/>
                  <a:lumOff val="40000"/>
                </a:srgbClr>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4-6035-4FD0-8846-C058D9E2CEE6}"/>
              </c:ext>
            </c:extLst>
          </c:dPt>
          <c:dLbls>
            <c:dLbl>
              <c:idx val="0"/>
              <c:layout>
                <c:manualLayout>
                  <c:x val="0"/>
                  <c:y val="-4.77463189928340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35-4FD0-8846-C058D9E2CEE6}"/>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accent3">
                        <a:lumMod val="7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Impuestos Totales</c:v>
                </c:pt>
                <c:pt idx="1">
                  <c:v>Impuestos sobre el ingreso, las utilidades y las ganancias de capital </c:v>
                </c:pt>
                <c:pt idx="2">
                  <c:v>Impuestos sobre los bienes y servicios </c:v>
                </c:pt>
                <c:pt idx="3">
                  <c:v>Impuestos sobre el comercio y las transacciones internacionales </c:v>
                </c:pt>
                <c:pt idx="4">
                  <c:v>Impuestos sobre la propiedad </c:v>
                </c:pt>
                <c:pt idx="5">
                  <c:v>Otros impuestos </c:v>
                </c:pt>
              </c:strCache>
            </c:strRef>
          </c:cat>
          <c:val>
            <c:numRef>
              <c:f>Hoja1!$C$2:$C$7</c:f>
              <c:numCache>
                <c:formatCode>_(* #,##0.00_);_(* \(#,##0.00\);_(* "-"??_);_(@_)</c:formatCode>
                <c:ptCount val="6"/>
                <c:pt idx="0">
                  <c:v>9478.2624900600022</c:v>
                </c:pt>
                <c:pt idx="1">
                  <c:v>3663.15267675</c:v>
                </c:pt>
                <c:pt idx="2">
                  <c:v>5330.3173461900005</c:v>
                </c:pt>
                <c:pt idx="3">
                  <c:v>411.57112250000046</c:v>
                </c:pt>
                <c:pt idx="4">
                  <c:v>11.959288560000001</c:v>
                </c:pt>
                <c:pt idx="5">
                  <c:v>61.262056060000077</c:v>
                </c:pt>
              </c:numCache>
            </c:numRef>
          </c:val>
          <c:extLst>
            <c:ext xmlns:c16="http://schemas.microsoft.com/office/drawing/2014/chart" uri="{C3380CC4-5D6E-409C-BE32-E72D297353CC}">
              <c16:uniqueId val="{00000005-6035-4FD0-8846-C058D9E2CEE6}"/>
            </c:ext>
          </c:extLst>
        </c:ser>
        <c:dLbls>
          <c:showLegendKey val="0"/>
          <c:showVal val="0"/>
          <c:showCatName val="0"/>
          <c:showSerName val="0"/>
          <c:showPercent val="0"/>
          <c:showBubbleSize val="0"/>
        </c:dLbls>
        <c:gapWidth val="247"/>
        <c:axId val="1916956256"/>
        <c:axId val="1924152624"/>
      </c:barChart>
      <c:catAx>
        <c:axId val="1916956256"/>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 sourceLinked="0"/>
        <c:majorTickMark val="out"/>
        <c:minorTickMark val="none"/>
        <c:tickLblPos val="low"/>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24152624"/>
        <c:crosses val="autoZero"/>
        <c:auto val="1"/>
        <c:lblAlgn val="ctr"/>
        <c:lblOffset val="100"/>
        <c:noMultiLvlLbl val="0"/>
      </c:catAx>
      <c:valAx>
        <c:axId val="1924152624"/>
        <c:scaling>
          <c:orientation val="minMax"/>
          <c:max val="10000"/>
        </c:scaling>
        <c:delete val="1"/>
        <c:axPos val="b"/>
        <c:numFmt formatCode="_(* #,##0.00_);_(* \(#,##0.00\);_(* &quot;-&quot;??_);_(@_)" sourceLinked="1"/>
        <c:majorTickMark val="out"/>
        <c:minorTickMark val="none"/>
        <c:tickLblPos val="nextTo"/>
        <c:crossAx val="191695625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80660909546200721"/>
          <c:y val="0.15724582340541735"/>
          <c:w val="0.18879726496202109"/>
          <c:h val="6.265500145815104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100" b="1" i="0" baseline="0">
                <a:solidFill>
                  <a:sysClr val="windowText" lastClr="000000"/>
                </a:solidFill>
                <a:effectLst/>
              </a:rPr>
              <a:t>Gasto Total</a:t>
            </a:r>
            <a:endParaRPr lang="es-GT" sz="1100" b="1">
              <a:solidFill>
                <a:sysClr val="windowText" lastClr="000000"/>
              </a:solidFill>
              <a:effectLst/>
            </a:endParaRPr>
          </a:p>
          <a:p>
            <a:pPr>
              <a:defRPr>
                <a:ln>
                  <a:noFill/>
                </a:ln>
              </a:defRPr>
            </a:pPr>
            <a:r>
              <a:rPr lang="en-US" sz="1050" b="1" i="0" baseline="0">
                <a:solidFill>
                  <a:sysClr val="windowText" lastClr="000000"/>
                </a:solidFill>
                <a:effectLst/>
              </a:rPr>
              <a:t>Variación internanual acumulada </a:t>
            </a:r>
          </a:p>
          <a:p>
            <a:pPr>
              <a:defRPr>
                <a:ln>
                  <a:noFill/>
                </a:ln>
              </a:defRPr>
            </a:pPr>
            <a:r>
              <a:rPr lang="en-US" sz="1050" b="1" i="0" baseline="0">
                <a:solidFill>
                  <a:sysClr val="windowText" lastClr="000000"/>
                </a:solidFill>
                <a:effectLst/>
              </a:rPr>
              <a:t>a septiembre de cada año</a:t>
            </a:r>
            <a:endParaRPr lang="es-GT" sz="1050" b="1">
              <a:solidFill>
                <a:sysClr val="windowText" lastClr="000000"/>
              </a:solidFill>
              <a:effectLst/>
            </a:endParaRPr>
          </a:p>
          <a:p>
            <a:pPr>
              <a:defRPr>
                <a:ln>
                  <a:noFill/>
                </a:ln>
              </a:defRPr>
            </a:pPr>
            <a:r>
              <a:rPr lang="en-US" sz="1000" b="0" i="0" baseline="0">
                <a:solidFill>
                  <a:sysClr val="windowText" lastClr="000000"/>
                </a:solidFill>
                <a:effectLst/>
              </a:rPr>
              <a:t>En porcentaje</a:t>
            </a:r>
            <a:endParaRPr lang="es-GT" sz="1000" b="0">
              <a:solidFill>
                <a:sysClr val="windowText" lastClr="000000"/>
              </a:solidFill>
            </a:endParaRPr>
          </a:p>
        </c:rich>
      </c:tx>
      <c:layout>
        <c:manualLayout>
          <c:xMode val="edge"/>
          <c:yMode val="edge"/>
          <c:x val="0.1199345497891748"/>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5.5432471369344358E-2"/>
          <c:y val="0.35948257896939262"/>
          <c:w val="0.98959481325520382"/>
          <c:h val="0.33121047779254142"/>
        </c:manualLayout>
      </c:layout>
      <c:barChart>
        <c:barDir val="col"/>
        <c:grouping val="clustered"/>
        <c:varyColors val="0"/>
        <c:ser>
          <c:idx val="0"/>
          <c:order val="1"/>
          <c:tx>
            <c:strRef>
              <c:f>Hoja1!$C$1</c:f>
              <c:strCache>
                <c:ptCount val="1"/>
                <c:pt idx="0">
                  <c:v>2022</c:v>
                </c:pt>
              </c:strCache>
            </c:strRef>
          </c:tx>
          <c:spPr>
            <a:solidFill>
              <a:srgbClr val="C0504D"/>
            </a:solidFill>
            <a:ln w="9525" cap="flat" cmpd="sng" algn="ctr">
              <a:solidFill>
                <a:sysClr val="windowText" lastClr="000000"/>
              </a:solidFill>
              <a:round/>
              <a:tailEnd type="triangle"/>
            </a:ln>
            <a:effectLst>
              <a:outerShdw blurRad="50800" dist="38100" dir="18900000" algn="bl" rotWithShape="0">
                <a:prstClr val="black">
                  <a:alpha val="40000"/>
                </a:prstClr>
              </a:outerShdw>
            </a:effectLst>
          </c:spPr>
          <c:invertIfNegative val="0"/>
          <c:dLbls>
            <c:dLbl>
              <c:idx val="0"/>
              <c:layout>
                <c:manualLayout>
                  <c:x val="-5.4769328330602973E-3"/>
                  <c:y val="-1.05797639169450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A9-4828-8279-56D853DEA497}"/>
                </c:ext>
              </c:extLst>
            </c:dLbl>
            <c:dLbl>
              <c:idx val="1"/>
              <c:layout>
                <c:manualLayout>
                  <c:x val="-2.3724215681094375E-3"/>
                  <c:y val="-3.7998653309697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A9-4828-8279-56D853DEA497}"/>
                </c:ext>
              </c:extLst>
            </c:dLbl>
            <c:dLbl>
              <c:idx val="3"/>
              <c:layout>
                <c:manualLayout>
                  <c:x val="-4.4295165048214256E-3"/>
                  <c:y val="-2.51344708571770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A9-4828-8279-56D853DEA497}"/>
                </c:ext>
              </c:extLst>
            </c:dLbl>
            <c:dLbl>
              <c:idx val="4"/>
              <c:layout>
                <c:manualLayout>
                  <c:x val="0"/>
                  <c:y val="1.7153251953562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A9-4828-8279-56D853DEA497}"/>
                </c:ext>
              </c:extLst>
            </c:dLbl>
            <c:dLbl>
              <c:idx val="5"/>
              <c:layout>
                <c:manualLayout>
                  <c:x val="-4.4295165048213467E-3"/>
                  <c:y val="-3.0120002071061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A9-4828-8279-56D853DEA497}"/>
                </c:ext>
              </c:extLst>
            </c:dLbl>
            <c:dLbl>
              <c:idx val="7"/>
              <c:layout>
                <c:manualLayout>
                  <c:x val="2.1266839815435269E-3"/>
                  <c:y val="-7.95869368787917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A9-4828-8279-56D853DEA497}"/>
                </c:ext>
              </c:extLst>
            </c:dLbl>
            <c:dLbl>
              <c:idx val="8"/>
              <c:layout>
                <c:manualLayout>
                  <c:x val="-2.1983033615832E-3"/>
                  <c:y val="-2.80228905813006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A9-4828-8279-56D853DEA497}"/>
                </c:ext>
              </c:extLst>
            </c:dLbl>
            <c:dLbl>
              <c:idx val="9"/>
              <c:layout>
                <c:manualLayout>
                  <c:x val="0"/>
                  <c:y val="-1.0611247364571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A9-4828-8279-56D853DEA497}"/>
                </c:ext>
              </c:extLst>
            </c:dLbl>
            <c:spPr>
              <a:noFill/>
              <a:ln>
                <a:noFill/>
              </a:ln>
              <a:effectLst/>
            </c:spPr>
            <c:txPr>
              <a:bodyPr rot="0" spcFirstLastPara="1" vertOverflow="ellipsis" vert="horz" wrap="square" anchor="ctr" anchorCtr="1"/>
              <a:lstStyle/>
              <a:p>
                <a:pPr>
                  <a:defRPr sz="700" b="1" i="0" u="none" strike="noStrike" kern="1200" baseline="0">
                    <a:solidFill>
                      <a:srgbClr val="C0504D"/>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Enero</c:v>
                </c:pt>
                <c:pt idx="1">
                  <c:v>Febrero</c:v>
                </c:pt>
                <c:pt idx="2">
                  <c:v>Marzo</c:v>
                </c:pt>
                <c:pt idx="3">
                  <c:v>Abril</c:v>
                </c:pt>
                <c:pt idx="4">
                  <c:v>Mayo</c:v>
                </c:pt>
                <c:pt idx="5">
                  <c:v>Junio</c:v>
                </c:pt>
                <c:pt idx="6">
                  <c:v>Julio</c:v>
                </c:pt>
                <c:pt idx="7">
                  <c:v>Agosto</c:v>
                </c:pt>
                <c:pt idx="8">
                  <c:v>Septiembre</c:v>
                </c:pt>
              </c:strCache>
            </c:strRef>
          </c:cat>
          <c:val>
            <c:numRef>
              <c:f>Hoja1!$C$2:$C$10</c:f>
              <c:numCache>
                <c:formatCode>_-* #,##0.0_-;\-* #,##0.0_-;_-* "-"??_-;_-@_-</c:formatCode>
                <c:ptCount val="9"/>
                <c:pt idx="0">
                  <c:v>7.56102341795859</c:v>
                </c:pt>
                <c:pt idx="1">
                  <c:v>15.102701989569912</c:v>
                </c:pt>
                <c:pt idx="2">
                  <c:v>17.052686242947068</c:v>
                </c:pt>
                <c:pt idx="3">
                  <c:v>12.044136979554555</c:v>
                </c:pt>
                <c:pt idx="4">
                  <c:v>13.429440119680947</c:v>
                </c:pt>
                <c:pt idx="5">
                  <c:v>14.465877761120915</c:v>
                </c:pt>
                <c:pt idx="6">
                  <c:v>14.226513119880169</c:v>
                </c:pt>
                <c:pt idx="7">
                  <c:v>15.129354066995671</c:v>
                </c:pt>
                <c:pt idx="8">
                  <c:v>16.56729564426842</c:v>
                </c:pt>
              </c:numCache>
            </c:numRef>
          </c:val>
          <c:extLst>
            <c:ext xmlns:c16="http://schemas.microsoft.com/office/drawing/2014/chart" uri="{C3380CC4-5D6E-409C-BE32-E72D297353CC}">
              <c16:uniqueId val="{00000008-91A9-4828-8279-56D853DEA497}"/>
            </c:ext>
          </c:extLst>
        </c:ser>
        <c:dLbls>
          <c:dLblPos val="ctr"/>
          <c:showLegendKey val="0"/>
          <c:showVal val="1"/>
          <c:showCatName val="0"/>
          <c:showSerName val="0"/>
          <c:showPercent val="0"/>
          <c:showBubbleSize val="0"/>
        </c:dLbls>
        <c:gapWidth val="73"/>
        <c:axId val="1509281743"/>
        <c:axId val="344873055"/>
      </c:barChart>
      <c:lineChart>
        <c:grouping val="standard"/>
        <c:varyColors val="0"/>
        <c:ser>
          <c:idx val="2"/>
          <c:order val="0"/>
          <c:tx>
            <c:strRef>
              <c:f>Hoja1!$B$1</c:f>
              <c:strCache>
                <c:ptCount val="1"/>
                <c:pt idx="0">
                  <c:v>2023*</c:v>
                </c:pt>
              </c:strCache>
            </c:strRef>
          </c:tx>
          <c:spPr>
            <a:ln w="31750" cap="rnd" cmpd="sng" algn="ctr">
              <a:solidFill>
                <a:schemeClr val="accent4"/>
              </a:solidFill>
              <a:round/>
              <a:tailEnd type="triangle"/>
            </a:ln>
            <a:effectLst>
              <a:outerShdw blurRad="50800" dist="38100" dir="18900000" algn="bl" rotWithShape="0">
                <a:prstClr val="black">
                  <a:alpha val="40000"/>
                </a:prstClr>
              </a:outerShdw>
            </a:effectLst>
          </c:spPr>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dPt>
            <c:idx val="8"/>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9-91A9-4828-8279-56D853DEA497}"/>
              </c:ext>
            </c:extLst>
          </c:dPt>
          <c:dPt>
            <c:idx val="11"/>
            <c:marker>
              <c:symbol val="none"/>
            </c:marker>
            <c:bubble3D val="0"/>
            <c:extLst>
              <c:ext xmlns:c16="http://schemas.microsoft.com/office/drawing/2014/chart" uri="{C3380CC4-5D6E-409C-BE32-E72D297353CC}">
                <c16:uniqueId val="{0000000A-91A9-4828-8279-56D853DEA497}"/>
              </c:ext>
            </c:extLst>
          </c:dPt>
          <c:dLbls>
            <c:dLbl>
              <c:idx val="0"/>
              <c:layout>
                <c:manualLayout>
                  <c:x val="-4.3509843548699162E-2"/>
                  <c:y val="-6.9282044662449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A9-4828-8279-56D853DEA497}"/>
                </c:ext>
              </c:extLst>
            </c:dLbl>
            <c:dLbl>
              <c:idx val="1"/>
              <c:layout>
                <c:manualLayout>
                  <c:x val="-7.8469234969789844E-2"/>
                  <c:y val="-0.1129465492206144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A9-4828-8279-56D853DEA497}"/>
                </c:ext>
              </c:extLst>
            </c:dLbl>
            <c:dLbl>
              <c:idx val="2"/>
              <c:layout>
                <c:manualLayout>
                  <c:x val="-7.9047719706177674E-2"/>
                  <c:y val="-0.130758589731257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A9-4828-8279-56D853DEA497}"/>
                </c:ext>
              </c:extLst>
            </c:dLbl>
            <c:dLbl>
              <c:idx val="3"/>
              <c:layout>
                <c:manualLayout>
                  <c:x val="-7.0863700177012753E-2"/>
                  <c:y val="-0.129154758713441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1A9-4828-8279-56D853DEA497}"/>
                </c:ext>
              </c:extLst>
            </c:dLbl>
            <c:dLbl>
              <c:idx val="4"/>
              <c:layout>
                <c:manualLayout>
                  <c:x val="-7.0863700177012837E-2"/>
                  <c:y val="-0.117614077813268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1A9-4828-8279-56D853DEA497}"/>
                </c:ext>
              </c:extLst>
            </c:dLbl>
            <c:dLbl>
              <c:idx val="5"/>
              <c:layout>
                <c:manualLayout>
                  <c:x val="-6.728865155354509E-2"/>
                  <c:y val="-0.1182417188363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1A9-4828-8279-56D853DEA497}"/>
                </c:ext>
              </c:extLst>
            </c:dLbl>
            <c:dLbl>
              <c:idx val="6"/>
              <c:layout>
                <c:manualLayout>
                  <c:x val="-6.0475161987041039E-2"/>
                  <c:y val="5.2984518816786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54-41A2-92C6-F22533ADD2B6}"/>
                </c:ext>
              </c:extLst>
            </c:dLbl>
            <c:dLbl>
              <c:idx val="7"/>
              <c:layout>
                <c:manualLayout>
                  <c:x val="-6.4794816414686832E-2"/>
                  <c:y val="5.2984518816786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54-41A2-92C6-F22533ADD2B6}"/>
                </c:ext>
              </c:extLst>
            </c:dLbl>
            <c:dLbl>
              <c:idx val="8"/>
              <c:layout>
                <c:manualLayout>
                  <c:x val="-9.1688916855155525E-3"/>
                  <c:y val="3.7810011988258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A9-4828-8279-56D853DEA497}"/>
                </c:ext>
              </c:extLst>
            </c:dLbl>
            <c:spPr>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Enero</c:v>
                </c:pt>
                <c:pt idx="1">
                  <c:v>Febrero</c:v>
                </c:pt>
                <c:pt idx="2">
                  <c:v>Marzo</c:v>
                </c:pt>
                <c:pt idx="3">
                  <c:v>Abril</c:v>
                </c:pt>
                <c:pt idx="4">
                  <c:v>Mayo</c:v>
                </c:pt>
                <c:pt idx="5">
                  <c:v>Junio</c:v>
                </c:pt>
                <c:pt idx="6">
                  <c:v>Julio</c:v>
                </c:pt>
                <c:pt idx="7">
                  <c:v>Agosto</c:v>
                </c:pt>
                <c:pt idx="8">
                  <c:v>Septiembre</c:v>
                </c:pt>
              </c:strCache>
            </c:strRef>
          </c:cat>
          <c:val>
            <c:numRef>
              <c:f>Hoja1!$B$2:$B$10</c:f>
              <c:numCache>
                <c:formatCode>_-* #,##0.0_-;\-* #,##0.0_-;_-* "-"??_-;_-@_-</c:formatCode>
                <c:ptCount val="9"/>
                <c:pt idx="0">
                  <c:v>13.77875067642127</c:v>
                </c:pt>
                <c:pt idx="1">
                  <c:v>16.716449870600215</c:v>
                </c:pt>
                <c:pt idx="2">
                  <c:v>17.673383749656345</c:v>
                </c:pt>
                <c:pt idx="3">
                  <c:v>18.493453191813302</c:v>
                </c:pt>
                <c:pt idx="4">
                  <c:v>16.913710197320665</c:v>
                </c:pt>
                <c:pt idx="5">
                  <c:v>15.293931687203809</c:v>
                </c:pt>
                <c:pt idx="6">
                  <c:v>13.88519739607672</c:v>
                </c:pt>
                <c:pt idx="7">
                  <c:v>13.028583690522421</c:v>
                </c:pt>
                <c:pt idx="8">
                  <c:v>10.88356377785502</c:v>
                </c:pt>
              </c:numCache>
            </c:numRef>
          </c:val>
          <c:smooth val="1"/>
          <c:extLst>
            <c:ext xmlns:c16="http://schemas.microsoft.com/office/drawing/2014/chart" uri="{C3380CC4-5D6E-409C-BE32-E72D297353CC}">
              <c16:uniqueId val="{00000011-91A9-4828-8279-56D853DEA497}"/>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scaling>
        <c:delete val="1"/>
        <c:axPos val="l"/>
        <c:numFmt formatCode="#,##0_ ;[Red]\-#,##0\ " sourceLinked="0"/>
        <c:majorTickMark val="out"/>
        <c:minorTickMark val="none"/>
        <c:tickLblPos val="nextTo"/>
        <c:crossAx val="1509281743"/>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49635540523877469"/>
          <c:y val="0.90744073091407051"/>
          <c:w val="0.49690570557874897"/>
          <c:h val="9.040087937725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rPr>
              <a:t>Gasto Total por clasificación MEFP</a:t>
            </a:r>
            <a:endParaRPr lang="es-GT" sz="1200">
              <a:effectLst/>
            </a:endParaRPr>
          </a:p>
          <a:p>
            <a:pPr>
              <a:defRPr>
                <a:solidFill>
                  <a:sysClr val="windowText" lastClr="000000"/>
                </a:solidFill>
              </a:defRPr>
            </a:pPr>
            <a:r>
              <a:rPr lang="en-US" sz="1100" b="1" i="0" baseline="0">
                <a:effectLst/>
              </a:rPr>
              <a:t>Variación interanual acumulada a septiembre de 2023*</a:t>
            </a:r>
            <a:endParaRPr lang="es-GT" sz="1100">
              <a:effectLst/>
            </a:endParaRPr>
          </a:p>
          <a:p>
            <a:pPr>
              <a:defRPr>
                <a:solidFill>
                  <a:sysClr val="windowText" lastClr="000000"/>
                </a:solidFill>
              </a:defRPr>
            </a:pPr>
            <a:r>
              <a:rPr lang="en-US" sz="1000" b="0" i="0" baseline="0">
                <a:effectLst/>
              </a:rPr>
              <a:t>En millones de Quetzales</a:t>
            </a:r>
            <a:endParaRPr lang="es-GT" sz="1000">
              <a:effectLst/>
            </a:endParaRPr>
          </a:p>
        </c:rich>
      </c:tx>
      <c:layout>
        <c:manualLayout>
          <c:xMode val="edge"/>
          <c:yMode val="edge"/>
          <c:x val="0.2312361961466226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26287719867897685"/>
          <c:w val="1"/>
          <c:h val="0.53533847412352631"/>
        </c:manualLayout>
      </c:layout>
      <c:barChart>
        <c:barDir val="col"/>
        <c:grouping val="clustered"/>
        <c:varyColors val="0"/>
        <c:ser>
          <c:idx val="0"/>
          <c:order val="0"/>
          <c:tx>
            <c:strRef>
              <c:f>Hoja1!$B$1</c:f>
              <c:strCache>
                <c:ptCount val="1"/>
                <c:pt idx="0">
                  <c:v>2023*</c:v>
                </c:pt>
              </c:strCache>
            </c:strRef>
          </c:tx>
          <c:spPr>
            <a:solidFill>
              <a:srgbClr val="70AD47"/>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invertIfNegative val="1"/>
          <c:dPt>
            <c:idx val="0"/>
            <c:invertIfNegative val="0"/>
            <c:bubble3D val="0"/>
            <c:spPr>
              <a:solidFill>
                <a:srgbClr val="C0504D"/>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extLst>
              <c:ext xmlns:c16="http://schemas.microsoft.com/office/drawing/2014/chart" uri="{C3380CC4-5D6E-409C-BE32-E72D297353CC}">
                <c16:uniqueId val="{00000001-F9C9-4991-B4C8-C4DE2177DD39}"/>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F9C9-4991-B4C8-C4DE2177DD39}"/>
                </c:ext>
              </c:extLst>
            </c:dLbl>
            <c:dLbl>
              <c:idx val="7"/>
              <c:layout>
                <c:manualLayout>
                  <c:x val="0"/>
                  <c:y val="1.2405705554215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C9-4991-B4C8-C4DE2177DD39}"/>
                </c:ext>
              </c:extLst>
            </c:dLbl>
            <c:spPr>
              <a:noFill/>
              <a:ln>
                <a:noFill/>
              </a:ln>
              <a:effectLst/>
            </c:spPr>
            <c:txPr>
              <a:bodyPr rot="0" spcFirstLastPara="1" vertOverflow="ellipsis" vert="horz" wrap="square" anchor="ctr" anchorCtr="1"/>
              <a:lstStyle/>
              <a:p>
                <a:pPr>
                  <a:defRPr sz="800" b="0"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Gasto total</c:v>
                </c:pt>
                <c:pt idx="1">
                  <c:v>Donaciones </c:v>
                </c:pt>
                <c:pt idx="2">
                  <c:v>Remuneración a los empleados </c:v>
                </c:pt>
                <c:pt idx="3">
                  <c:v>Uso de bienes y servicios  </c:v>
                </c:pt>
                <c:pt idx="4">
                  <c:v>Otros gastos </c:v>
                </c:pt>
                <c:pt idx="5">
                  <c:v>Prestaciones sociales </c:v>
                </c:pt>
                <c:pt idx="6">
                  <c:v>Intereses </c:v>
                </c:pt>
                <c:pt idx="7">
                  <c:v>Subsidios </c:v>
                </c:pt>
              </c:strCache>
            </c:strRef>
          </c:cat>
          <c:val>
            <c:numRef>
              <c:f>Hoja1!$B$2:$B$9</c:f>
              <c:numCache>
                <c:formatCode>#,##0.0_ ;[Red]\-#,##0.0\ </c:formatCode>
                <c:ptCount val="8"/>
                <c:pt idx="0">
                  <c:v>7870.8935172099991</c:v>
                </c:pt>
                <c:pt idx="1">
                  <c:v>2616.6739662799955</c:v>
                </c:pt>
                <c:pt idx="2">
                  <c:v>2419.3712725200021</c:v>
                </c:pt>
                <c:pt idx="3">
                  <c:v>1836.912621620002</c:v>
                </c:pt>
                <c:pt idx="4">
                  <c:v>1140.6813770799999</c:v>
                </c:pt>
                <c:pt idx="5">
                  <c:v>1061.8554821100015</c:v>
                </c:pt>
                <c:pt idx="6">
                  <c:v>965.42276739999943</c:v>
                </c:pt>
                <c:pt idx="7">
                  <c:v>-2170.0239698000005</c:v>
                </c:pt>
              </c:numCache>
            </c:numRef>
          </c:val>
          <c:extLst>
            <c:ext xmlns:c14="http://schemas.microsoft.com/office/drawing/2007/8/2/chart" uri="{6F2FDCE9-48DA-4B69-8628-5D25D57E5C99}">
              <c14:invertSolidFillFmt>
                <c14:spPr xmlns:c14="http://schemas.microsoft.com/office/drawing/2007/8/2/chart">
                  <a:solidFill>
                    <a:srgbClr val="FF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14:spPr>
              </c14:invertSolidFillFmt>
            </c:ext>
            <c:ext xmlns:c16="http://schemas.microsoft.com/office/drawing/2014/chart" uri="{C3380CC4-5D6E-409C-BE32-E72D297353CC}">
              <c16:uniqueId val="{00000003-F9C9-4991-B4C8-C4DE2177DD39}"/>
            </c:ext>
          </c:extLst>
        </c:ser>
        <c:dLbls>
          <c:showLegendKey val="0"/>
          <c:showVal val="0"/>
          <c:showCatName val="0"/>
          <c:showSerName val="0"/>
          <c:showPercent val="0"/>
          <c:showBubbleSize val="0"/>
        </c:dLbls>
        <c:gapWidth val="100"/>
        <c:overlap val="-24"/>
        <c:axId val="596122768"/>
        <c:axId val="317412256"/>
      </c:barChart>
      <c:catAx>
        <c:axId val="596122768"/>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17412256"/>
        <c:crosses val="autoZero"/>
        <c:auto val="0"/>
        <c:lblAlgn val="ctr"/>
        <c:lblOffset val="100"/>
        <c:noMultiLvlLbl val="0"/>
      </c:catAx>
      <c:valAx>
        <c:axId val="317412256"/>
        <c:scaling>
          <c:orientation val="minMax"/>
        </c:scaling>
        <c:delete val="1"/>
        <c:axPos val="l"/>
        <c:numFmt formatCode="#,##0.0_ ;[Red]\-#,##0.0\ " sourceLinked="1"/>
        <c:majorTickMark val="none"/>
        <c:minorTickMark val="none"/>
        <c:tickLblPos val="nextTo"/>
        <c:crossAx val="596122768"/>
        <c:crosses val="autoZero"/>
        <c:crossBetween val="between"/>
      </c:valAx>
      <c:spPr>
        <a:gradFill>
          <a:gsLst>
            <a:gs pos="0">
              <a:schemeClr val="accent1">
                <a:lumMod val="5000"/>
                <a:lumOff val="95000"/>
              </a:schemeClr>
            </a:gs>
            <a:gs pos="56000">
              <a:schemeClr val="bg1">
                <a:lumMod val="95000"/>
              </a:schemeClr>
            </a:gs>
            <a:gs pos="100000">
              <a:schemeClr val="bg1"/>
            </a:gs>
          </a:gsLst>
          <a:lin ang="5400000" scaled="1"/>
        </a:grad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i="0" baseline="0">
                <a:solidFill>
                  <a:sysClr val="windowText" lastClr="000000"/>
                </a:solidFill>
                <a:effectLst/>
              </a:rPr>
              <a:t>Inversión bruta en activos no financieros</a:t>
            </a:r>
            <a:endParaRPr lang="es-GT" sz="1200">
              <a:solidFill>
                <a:sysClr val="windowText" lastClr="000000"/>
              </a:solidFill>
              <a:effectLst/>
            </a:endParaRPr>
          </a:p>
          <a:p>
            <a:pPr>
              <a:defRPr/>
            </a:pPr>
            <a:r>
              <a:rPr lang="en-US" sz="1100" b="1" i="0" baseline="0">
                <a:solidFill>
                  <a:sysClr val="windowText" lastClr="000000"/>
                </a:solidFill>
                <a:effectLst/>
              </a:rPr>
              <a:t>Cifra acumulada a septiembre de cada año</a:t>
            </a:r>
            <a:endParaRPr lang="es-GT" sz="1100">
              <a:solidFill>
                <a:sysClr val="windowText" lastClr="000000"/>
              </a:solidFill>
              <a:effectLst/>
            </a:endParaRPr>
          </a:p>
          <a:p>
            <a:pPr>
              <a:defRPr/>
            </a:pPr>
            <a:r>
              <a:rPr lang="en-US" sz="1000" b="0" i="0" baseline="0">
                <a:solidFill>
                  <a:sysClr val="windowText" lastClr="000000"/>
                </a:solidFill>
                <a:effectLst/>
              </a:rPr>
              <a:t>En millones de Quetzales</a:t>
            </a:r>
            <a:endParaRPr lang="es-GT" sz="1000">
              <a:solidFill>
                <a:sysClr val="windowText" lastClr="000000"/>
              </a:solidFill>
              <a:effectLst/>
            </a:endParaRPr>
          </a:p>
        </c:rich>
      </c:tx>
      <c:layout>
        <c:manualLayout>
          <c:xMode val="edge"/>
          <c:yMode val="edge"/>
          <c:x val="0.24667278760405448"/>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31342858433326809"/>
          <c:w val="1"/>
          <c:h val="0.44743319130997733"/>
        </c:manualLayout>
      </c:layout>
      <c:barChart>
        <c:barDir val="col"/>
        <c:grouping val="clustered"/>
        <c:varyColors val="0"/>
        <c:ser>
          <c:idx val="0"/>
          <c:order val="0"/>
          <c:tx>
            <c:strRef>
              <c:f>Hoja1!$A$2</c:f>
              <c:strCache>
                <c:ptCount val="1"/>
                <c:pt idx="0">
                  <c:v>Inversión neta/bruta en activos no financieros </c:v>
                </c:pt>
              </c:strCache>
            </c:strRef>
          </c:tx>
          <c:spPr>
            <a:solidFill>
              <a:schemeClr val="accent3">
                <a:lumMod val="60000"/>
                <a:lumOff val="40000"/>
              </a:schemeClr>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Hoja1!$B$1:$F$1</c:f>
              <c:strCache>
                <c:ptCount val="5"/>
                <c:pt idx="0">
                  <c:v>2023*</c:v>
                </c:pt>
                <c:pt idx="1">
                  <c:v>2022</c:v>
                </c:pt>
                <c:pt idx="2">
                  <c:v>2021</c:v>
                </c:pt>
                <c:pt idx="3">
                  <c:v>2020</c:v>
                </c:pt>
                <c:pt idx="4">
                  <c:v>2019</c:v>
                </c:pt>
              </c:strCache>
            </c:strRef>
          </c:cat>
          <c:val>
            <c:numRef>
              <c:f>Hoja1!$B$2:$F$2</c:f>
              <c:numCache>
                <c:formatCode>#,##0.0_ ;[Red]\-#,##0.0\ </c:formatCode>
                <c:ptCount val="5"/>
                <c:pt idx="0">
                  <c:v>3586.78858261</c:v>
                </c:pt>
                <c:pt idx="1">
                  <c:v>2540.2871155100001</c:v>
                </c:pt>
                <c:pt idx="2">
                  <c:v>2222.90949718</c:v>
                </c:pt>
                <c:pt idx="3">
                  <c:v>1913.8800744999999</c:v>
                </c:pt>
                <c:pt idx="4">
                  <c:v>3184.3695592399999</c:v>
                </c:pt>
              </c:numCache>
            </c:numRef>
          </c:val>
          <c:extLst>
            <c:ext xmlns:c16="http://schemas.microsoft.com/office/drawing/2014/chart" uri="{C3380CC4-5D6E-409C-BE32-E72D297353CC}">
              <c16:uniqueId val="{00000000-B1F7-4409-B6F7-70C99837FA20}"/>
            </c:ext>
          </c:extLst>
        </c:ser>
        <c:dLbls>
          <c:showLegendKey val="0"/>
          <c:showVal val="0"/>
          <c:showCatName val="0"/>
          <c:showSerName val="0"/>
          <c:showPercent val="0"/>
          <c:showBubbleSize val="0"/>
        </c:dLbls>
        <c:gapWidth val="267"/>
        <c:overlap val="-43"/>
        <c:axId val="1557017296"/>
        <c:axId val="470887616"/>
      </c:barChart>
      <c:catAx>
        <c:axId val="1557017296"/>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470887616"/>
        <c:crosses val="autoZero"/>
        <c:auto val="1"/>
        <c:lblAlgn val="ctr"/>
        <c:lblOffset val="100"/>
        <c:noMultiLvlLbl val="0"/>
      </c:catAx>
      <c:valAx>
        <c:axId val="470887616"/>
        <c:scaling>
          <c:orientation val="minMax"/>
        </c:scaling>
        <c:delete val="1"/>
        <c:axPos val="r"/>
        <c:numFmt formatCode="#,##0.0_ ;[Red]\-#,##0.0\ " sourceLinked="1"/>
        <c:majorTickMark val="none"/>
        <c:minorTickMark val="none"/>
        <c:tickLblPos val="nextTo"/>
        <c:crossAx val="15570172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a:t>Flujo</a:t>
            </a:r>
            <a:r>
              <a:rPr lang="es-GT" baseline="0"/>
              <a:t> mensual  </a:t>
            </a:r>
          </a:p>
        </c:rich>
      </c:tx>
      <c:layout>
        <c:manualLayout>
          <c:xMode val="edge"/>
          <c:yMode val="edge"/>
          <c:x val="0.381879044856059"/>
          <c:y val="3.6825518900942419E-3"/>
        </c:manualLayout>
      </c:layout>
      <c:overlay val="0"/>
      <c:spPr>
        <a:noFill/>
        <a:ln>
          <a:noFill/>
        </a:ln>
        <a:effectLst/>
      </c:spPr>
      <c:txPr>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149611152226927"/>
          <c:w val="0.88357685829344368"/>
          <c:h val="0.54211536891221934"/>
        </c:manualLayout>
      </c:layout>
      <c:barChart>
        <c:barDir val="col"/>
        <c:grouping val="clustered"/>
        <c:varyColors val="0"/>
        <c:ser>
          <c:idx val="0"/>
          <c:order val="0"/>
          <c:tx>
            <c:strRef>
              <c:f>Hoja1!$A$2</c:f>
              <c:strCache>
                <c:ptCount val="1"/>
                <c:pt idx="0">
                  <c:v>Adquicición neta de activos financieros</c:v>
                </c:pt>
              </c:strCache>
            </c:strRef>
          </c:tx>
          <c:spPr>
            <a:solidFill>
              <a:srgbClr val="9BBB59"/>
            </a:solidFill>
            <a:ln>
              <a:solidFill>
                <a:schemeClr val="tx1"/>
              </a:solidFill>
            </a:ln>
            <a:effectLst>
              <a:outerShdw blurRad="50800" dist="38100" dir="18900000" algn="bl" rotWithShape="0">
                <a:prstClr val="black">
                  <a:alpha val="40000"/>
                </a:prstClr>
              </a:outerShdw>
            </a:effectLst>
          </c:spPr>
          <c:invertIfNegative val="1"/>
          <c:dPt>
            <c:idx val="3"/>
            <c:invertIfNegative val="1"/>
            <c:bubble3D val="0"/>
            <c:extLst>
              <c:ext xmlns:c16="http://schemas.microsoft.com/office/drawing/2014/chart" uri="{C3380CC4-5D6E-409C-BE32-E72D297353CC}">
                <c16:uniqueId val="{00000000-3C81-493C-B45F-C43E75DECBB8}"/>
              </c:ext>
            </c:extLst>
          </c:dPt>
          <c:dPt>
            <c:idx val="6"/>
            <c:invertIfNegative val="1"/>
            <c:bubble3D val="0"/>
            <c:spPr>
              <a:solidFill>
                <a:srgbClr val="4F6228"/>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2-3C81-493C-B45F-C43E75DECBB8}"/>
              </c:ext>
            </c:extLst>
          </c:dPt>
          <c:dPt>
            <c:idx val="9"/>
            <c:invertIfNegative val="0"/>
            <c:bubble3D val="0"/>
            <c:spPr>
              <a:solidFill>
                <a:srgbClr val="1F497D"/>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3C81-493C-B45F-C43E75DECBB8}"/>
              </c:ext>
            </c:extLst>
          </c:dPt>
          <c:dPt>
            <c:idx val="12"/>
            <c:invertIfNegative val="0"/>
            <c:bubble3D val="0"/>
            <c:spPr>
              <a:solidFill>
                <a:srgbClr val="17375E"/>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3C81-493C-B45F-C43E75DECBB8}"/>
              </c:ext>
            </c:extLst>
          </c:dPt>
          <c:dLbls>
            <c:dLbl>
              <c:idx val="0"/>
              <c:layout>
                <c:manualLayout>
                  <c:x val="0"/>
                  <c:y val="1.526135062953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81-493C-B45F-C43E75DECBB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81-493C-B45F-C43E75DECBB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81-493C-B45F-C43E75DECBB8}"/>
                </c:ext>
              </c:extLst>
            </c:dLbl>
            <c:dLbl>
              <c:idx val="3"/>
              <c:layout>
                <c:manualLayout>
                  <c:x val="0"/>
                  <c:y val="-2.79356742717667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81-493C-B45F-C43E75DECBB8}"/>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81-493C-B45F-C43E75DECBB8}"/>
                </c:ext>
              </c:extLst>
            </c:dLbl>
            <c:dLbl>
              <c:idx val="5"/>
              <c:layout>
                <c:manualLayout>
                  <c:x val="0"/>
                  <c:y val="2.50626669575356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81-493C-B45F-C43E75DECBB8}"/>
                </c:ext>
              </c:extLst>
            </c:dLbl>
            <c:dLbl>
              <c:idx val="6"/>
              <c:numFmt formatCode="#,##0.0_ ;[Red]\-#,##0.0\ " sourceLinked="0"/>
              <c:spPr>
                <a:noFill/>
                <a:ln>
                  <a:noFill/>
                </a:ln>
                <a:effectLst/>
              </c:spPr>
              <c:txPr>
                <a:bodyPr rot="0" spcFirstLastPara="1" vertOverflow="ellipsis" vert="horz" wrap="square" anchor="ctr" anchorCtr="1"/>
                <a:lstStyle/>
                <a:p>
                  <a:pPr>
                    <a:defRPr sz="7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81-493C-B45F-C43E75DECBB8}"/>
                </c:ext>
              </c:extLst>
            </c:dLbl>
            <c:dLbl>
              <c:idx val="7"/>
              <c:layout>
                <c:manualLayout>
                  <c:x val="0"/>
                  <c:y val="-7.686735185284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81-493C-B45F-C43E75DECBB8}"/>
                </c:ext>
              </c:extLst>
            </c:dLbl>
            <c:dLbl>
              <c:idx val="8"/>
              <c:layout>
                <c:manualLayout>
                  <c:x val="4.4633196360658999E-3"/>
                  <c:y val="8.79189630830908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81-493C-B45F-C43E75DECBB8}"/>
                </c:ext>
              </c:extLst>
            </c:dLbl>
            <c:dLbl>
              <c:idx val="9"/>
              <c:layout>
                <c:manualLayout>
                  <c:x val="-3.7735849056603774E-3"/>
                  <c:y val="2.6073304781432369E-2"/>
                </c:manualLayout>
              </c:layout>
              <c:tx>
                <c:rich>
                  <a:bodyPr rot="-5400000" spcFirstLastPara="1" vertOverflow="ellipsis"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fld id="{6553BB80-0A5F-433F-AC2E-687E6534C3DC}" type="VALUE">
                      <a:rPr lang="en-US" sz="800" b="1">
                        <a:solidFill>
                          <a:srgbClr val="FF0000"/>
                        </a:solidFill>
                      </a:rPr>
                      <a:pPr>
                        <a:defRPr sz="800" b="1">
                          <a:solidFill>
                            <a:srgbClr val="FF0000"/>
                          </a:solidFill>
                        </a:defRPr>
                      </a:pPr>
                      <a:t>[VALOR]</a:t>
                    </a:fld>
                    <a:endParaRPr lang="es-GT"/>
                  </a:p>
                </c:rich>
              </c:tx>
              <c:numFmt formatCode="#,##0.0_ ;[Red]\-#,##0.0\ " sourceLinked="0"/>
              <c:spPr>
                <a:noFill/>
                <a:ln>
                  <a:noFill/>
                </a:ln>
                <a:effectLst/>
              </c:spPr>
              <c:txPr>
                <a:bodyPr rot="-5400000" spcFirstLastPara="1" vertOverflow="ellipsis"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81-493C-B45F-C43E75DECBB8}"/>
                </c:ext>
              </c:extLst>
            </c:dLbl>
            <c:dLbl>
              <c:idx val="10"/>
              <c:layout>
                <c:manualLayout>
                  <c:x val="0"/>
                  <c:y val="1.52613506295307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81-493C-B45F-C43E75DECBB8}"/>
                </c:ext>
              </c:extLst>
            </c:dLbl>
            <c:dLbl>
              <c:idx val="11"/>
              <c:layout>
                <c:manualLayout>
                  <c:x val="-3.8439361906592348E-2"/>
                  <c:y val="1.192292823862133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81-493C-B45F-C43E75DECBB8}"/>
                </c:ext>
              </c:extLst>
            </c:dLbl>
            <c:dLbl>
              <c:idx val="12"/>
              <c:layout>
                <c:manualLayout>
                  <c:x val="1.9219680953296174E-2"/>
                  <c:y val="5.1712140633584543E-3"/>
                </c:manualLayout>
              </c:layout>
              <c:numFmt formatCode="#,##0.0_ ;[Red]\-#,##0.0\ " sourceLinked="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81-493C-B45F-C43E75DECBB8}"/>
                </c:ext>
              </c:extLst>
            </c:dLbl>
            <c:numFmt formatCode="#,##0.0_ ;[Red]\-#,##0.0\ "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Hoja1!$B$1:$K$1</c:f>
              <c:strCache>
                <c:ptCount val="10"/>
                <c:pt idx="0">
                  <c:v>Enero</c:v>
                </c:pt>
                <c:pt idx="1">
                  <c:v>Febrero</c:v>
                </c:pt>
                <c:pt idx="2">
                  <c:v>Marzo</c:v>
                </c:pt>
                <c:pt idx="3">
                  <c:v>Abril</c:v>
                </c:pt>
                <c:pt idx="4">
                  <c:v>Mayo</c:v>
                </c:pt>
                <c:pt idx="5">
                  <c:v>Junio</c:v>
                </c:pt>
                <c:pt idx="6">
                  <c:v>Julio</c:v>
                </c:pt>
                <c:pt idx="7">
                  <c:v>Agosto</c:v>
                </c:pt>
                <c:pt idx="8">
                  <c:v>Septiembre</c:v>
                </c:pt>
                <c:pt idx="9">
                  <c:v>Total</c:v>
                </c:pt>
              </c:strCache>
            </c:strRef>
          </c:cat>
          <c:val>
            <c:numRef>
              <c:f>Hoja1!$B$2:$K$2</c:f>
              <c:numCache>
                <c:formatCode>#,##0.00</c:formatCode>
                <c:ptCount val="10"/>
                <c:pt idx="0">
                  <c:v>1058.9227857199999</c:v>
                </c:pt>
                <c:pt idx="1">
                  <c:v>-2829.2573028699994</c:v>
                </c:pt>
                <c:pt idx="2">
                  <c:v>-1698.92057161</c:v>
                </c:pt>
                <c:pt idx="3">
                  <c:v>-1536.94875168</c:v>
                </c:pt>
                <c:pt idx="4">
                  <c:v>-307.59606222000002</c:v>
                </c:pt>
                <c:pt idx="5">
                  <c:v>5826.1618363400003</c:v>
                </c:pt>
                <c:pt idx="6">
                  <c:v>-1429.5840059699999</c:v>
                </c:pt>
                <c:pt idx="7">
                  <c:v>211.49910936000001</c:v>
                </c:pt>
                <c:pt idx="8">
                  <c:v>-1963.94904537</c:v>
                </c:pt>
                <c:pt idx="9">
                  <c:v>-2669.6720082999987</c:v>
                </c:pt>
              </c:numCache>
            </c:numRef>
          </c:val>
          <c:extLst>
            <c:ext xmlns:c14="http://schemas.microsoft.com/office/drawing/2007/8/2/chart" uri="{6F2FDCE9-48DA-4B69-8628-5D25D57E5C99}">
              <c14:invertSolidFillFmt>
                <c14:spPr xmlns:c14="http://schemas.microsoft.com/office/drawing/2007/8/2/chart">
                  <a:solidFill>
                    <a:srgbClr val="C00000"/>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F-3C81-493C-B45F-C43E75DECBB8}"/>
            </c:ext>
          </c:extLst>
        </c:ser>
        <c:dLbls>
          <c:dLblPos val="inEnd"/>
          <c:showLegendKey val="0"/>
          <c:showVal val="1"/>
          <c:showCatName val="0"/>
          <c:showSerName val="0"/>
          <c:showPercent val="0"/>
          <c:showBubbleSize val="0"/>
        </c:dLbls>
        <c:gapWidth val="83"/>
        <c:overlap val="7"/>
        <c:axId val="152970912"/>
        <c:axId val="152969984"/>
      </c:barChart>
      <c:catAx>
        <c:axId val="15297091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min val="-6900"/>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1000"/>
              <a:t>Por</a:t>
            </a:r>
            <a:r>
              <a:rPr lang="es-GT" sz="1000" baseline="0"/>
              <a:t> tipo de instrumento</a:t>
            </a:r>
          </a:p>
          <a:p>
            <a:pPr>
              <a:defRPr b="1">
                <a:solidFill>
                  <a:schemeClr val="tx1"/>
                </a:solidFill>
              </a:defRPr>
            </a:pPr>
            <a:r>
              <a:rPr lang="es-GT" sz="1000" baseline="0"/>
              <a:t>Cifra acumulada</a:t>
            </a:r>
            <a:endParaRPr lang="es-GT" sz="1000"/>
          </a:p>
        </c:rich>
      </c:tx>
      <c:layout>
        <c:manualLayout>
          <c:xMode val="edge"/>
          <c:yMode val="edge"/>
          <c:x val="0.22472140909108393"/>
          <c:y val="0"/>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1.448068991376078E-2"/>
          <c:y val="0.29054036109321441"/>
          <c:w val="0.62471055430338851"/>
          <c:h val="0.66421794113680444"/>
        </c:manualLayout>
      </c:layout>
      <c:pieChart>
        <c:varyColors val="1"/>
        <c:ser>
          <c:idx val="0"/>
          <c:order val="0"/>
          <c:tx>
            <c:strRef>
              <c:f>Hoja1!$B$1</c:f>
              <c:strCache>
                <c:ptCount val="1"/>
                <c:pt idx="0">
                  <c:v>Diciembre</c:v>
                </c:pt>
              </c:strCache>
            </c:strRef>
          </c:tx>
          <c:spPr>
            <a:ln>
              <a:solidFill>
                <a:schemeClr val="tx1"/>
              </a:solidFill>
            </a:ln>
            <a:effectLst>
              <a:outerShdw blurRad="50800" dist="38100" dir="18900000" algn="bl" rotWithShape="0">
                <a:prstClr val="black">
                  <a:alpha val="40000"/>
                </a:prstClr>
              </a:outerShdw>
            </a:effectLst>
          </c:spPr>
          <c:explosion val="2"/>
          <c:dPt>
            <c:idx val="0"/>
            <c:bubble3D val="0"/>
            <c:explosion val="0"/>
            <c:spPr>
              <a:solidFill>
                <a:schemeClr val="accent1"/>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8D28-46B3-A4D9-D6685D59C05E}"/>
              </c:ext>
            </c:extLst>
          </c:dPt>
          <c:dPt>
            <c:idx val="1"/>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8D28-46B3-A4D9-D6685D59C05E}"/>
              </c:ext>
            </c:extLst>
          </c:dPt>
          <c:dPt>
            <c:idx val="2"/>
            <c:bubble3D val="0"/>
            <c:explosion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8D28-46B3-A4D9-D6685D59C05E}"/>
              </c:ext>
            </c:extLst>
          </c:dPt>
          <c:dLbls>
            <c:dLbl>
              <c:idx val="0"/>
              <c:layout>
                <c:manualLayout>
                  <c:x val="0.34086261276164009"/>
                  <c:y val="-0.36198488149630892"/>
                </c:manualLayout>
              </c:layout>
              <c:tx>
                <c:rich>
                  <a:bodyPr/>
                  <a:lstStyle/>
                  <a:p>
                    <a:fld id="{DC3ECB95-8660-484B-8DBA-8FFFA2B3DF23}" type="CATEGORYNAME">
                      <a:rPr lang="en-US"/>
                      <a:pPr/>
                      <a:t>[NOMBRE DE CATEGORÍA]</a:t>
                    </a:fld>
                    <a:r>
                      <a:rPr lang="en-US" baseline="0"/>
                      <a:t>
</a:t>
                    </a:r>
                    <a:fld id="{2475ACC2-5FE9-40EC-AD17-6949D8164250}" type="VALUE">
                      <a:rPr lang="en-US" baseline="0"/>
                      <a:pPr/>
                      <a:t>[VALOR]</a:t>
                    </a:fld>
                    <a:r>
                      <a:rPr lang="en-US" baseline="0"/>
                      <a:t>
</a:t>
                    </a:r>
                    <a:fld id="{F0E8D96C-0634-4E13-879C-2B88D45A5256}" type="CELLREF">
                      <a:rPr lang="en-US" baseline="0"/>
                      <a:pPr/>
                      <a:t>[CELLREF]</a:t>
                    </a:fld>
                    <a:endParaRPr lang="en-US" baseline="0"/>
                  </a:p>
                </c:rich>
              </c:tx>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57117007432894418"/>
                      <c:h val="0.20605477875540384"/>
                    </c:manualLayout>
                  </c15:layout>
                  <c15:dlblFieldTable>
                    <c15:dlblFTEntry>
                      <c15:txfldGUID>{F0E8D96C-0634-4E13-879C-2B88D45A5256}</c15:txfldGUID>
                      <c15:f>Hoja1!$C$2</c15:f>
                      <c15:dlblFieldTableCache>
                        <c:ptCount val="1"/>
                        <c:pt idx="0">
                          <c:v>98.0%</c:v>
                        </c:pt>
                      </c15:dlblFieldTableCache>
                    </c15:dlblFTEntry>
                  </c15:dlblFieldTable>
                  <c15:showDataLabelsRange val="0"/>
                </c:ext>
                <c:ext xmlns:c16="http://schemas.microsoft.com/office/drawing/2014/chart" uri="{C3380CC4-5D6E-409C-BE32-E72D297353CC}">
                  <c16:uniqueId val="{00000001-8D28-46B3-A4D9-D6685D59C05E}"/>
                </c:ext>
              </c:extLst>
            </c:dLbl>
            <c:dLbl>
              <c:idx val="1"/>
              <c:layout>
                <c:manualLayout>
                  <c:x val="2.36148269570392E-2"/>
                  <c:y val="1.5526713127129617E-3"/>
                </c:manualLayout>
              </c:layout>
              <c:tx>
                <c:rich>
                  <a:bodyPr/>
                  <a:lstStyle/>
                  <a:p>
                    <a:fld id="{C0631E71-BA3D-4443-A281-2C9FC532B5CD}" type="CATEGORYNAME">
                      <a:rPr lang="en-US"/>
                      <a:pPr/>
                      <a:t>[NOMBRE DE CATEGORÍA]</a:t>
                    </a:fld>
                    <a:r>
                      <a:rPr lang="en-US" baseline="0"/>
                      <a:t>
</a:t>
                    </a:r>
                    <a:fld id="{9B110C3B-ED12-465D-8831-4E9513E95931}" type="VALUE">
                      <a:rPr lang="en-US" baseline="0"/>
                      <a:pPr/>
                      <a:t>[VALOR]</a:t>
                    </a:fld>
                    <a:r>
                      <a:rPr lang="en-US" baseline="0"/>
                      <a:t>
</a:t>
                    </a:r>
                    <a:fld id="{5AE4D37B-34A8-4459-8CE2-DA6FA99CAD6A}" type="CELLREF">
                      <a:rPr lang="en-US" baseline="0"/>
                      <a:pPr/>
                      <a:t>[CELLREF]</a:t>
                    </a:fld>
                    <a:endParaRPr lang="en-US" baseline="0"/>
                  </a:p>
                </c:rich>
              </c:tx>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3509488823190783"/>
                      <c:h val="0.22573933778782385"/>
                    </c:manualLayout>
                  </c15:layout>
                  <c15:dlblFieldTable>
                    <c15:dlblFTEntry>
                      <c15:txfldGUID>{5AE4D37B-34A8-4459-8CE2-DA6FA99CAD6A}</c15:txfldGUID>
                      <c15:f>Hoja1!$C$3</c15:f>
                      <c15:dlblFieldTableCache>
                        <c:ptCount val="1"/>
                        <c:pt idx="0">
                          <c:v>2.0%</c:v>
                        </c:pt>
                      </c15:dlblFieldTableCache>
                    </c15:dlblFTEntry>
                  </c15:dlblFieldTable>
                  <c15:showDataLabelsRange val="0"/>
                </c:ext>
                <c:ext xmlns:c16="http://schemas.microsoft.com/office/drawing/2014/chart" uri="{C3380CC4-5D6E-409C-BE32-E72D297353CC}">
                  <c16:uniqueId val="{00000003-8D28-46B3-A4D9-D6685D59C05E}"/>
                </c:ext>
              </c:extLst>
            </c:dLbl>
            <c:dLbl>
              <c:idx val="2"/>
              <c:layout>
                <c:manualLayout>
                  <c:x val="-2.9101659690308229E-2"/>
                  <c:y val="2.6110755590180203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40491643005590838"/>
                      <c:h val="0.25384713836565476"/>
                    </c:manualLayout>
                  </c15:layout>
                </c:ext>
                <c:ext xmlns:c16="http://schemas.microsoft.com/office/drawing/2014/chart" uri="{C3380CC4-5D6E-409C-BE32-E72D297353CC}">
                  <c16:uniqueId val="{00000005-8D28-46B3-A4D9-D6685D59C05E}"/>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bestFit"/>
            <c:showLegendKey val="1"/>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Hoja1!$A$2:$A$4</c:f>
              <c:strCache>
                <c:ptCount val="3"/>
                <c:pt idx="0">
                  <c:v>Billetes, monedas y depósitos</c:v>
                </c:pt>
                <c:pt idx="1">
                  <c:v>Préstamos</c:v>
                </c:pt>
                <c:pt idx="2">
                  <c:v>Participaciones de capital y en fondos de inversión</c:v>
                </c:pt>
              </c:strCache>
            </c:strRef>
          </c:cat>
          <c:val>
            <c:numRef>
              <c:f>Hoja1!$B$2:$B$4</c:f>
              <c:numCache>
                <c:formatCode>"Q"#,##0.0</c:formatCode>
                <c:ptCount val="3"/>
                <c:pt idx="0">
                  <c:v>-2615.6638207800002</c:v>
                </c:pt>
                <c:pt idx="1">
                  <c:v>-54.00818752</c:v>
                </c:pt>
              </c:numCache>
            </c:numRef>
          </c:val>
          <c:extLst>
            <c:ext xmlns:c16="http://schemas.microsoft.com/office/drawing/2014/chart" uri="{C3380CC4-5D6E-409C-BE32-E72D297353CC}">
              <c16:uniqueId val="{00000006-8D28-46B3-A4D9-D6685D59C05E}"/>
            </c:ext>
          </c:extLst>
        </c:ser>
        <c:ser>
          <c:idx val="1"/>
          <c:order val="1"/>
          <c:tx>
            <c:strRef>
              <c:f>Hoja1!$C$1</c:f>
              <c:strCache>
                <c:ptCount val="1"/>
                <c:pt idx="0">
                  <c:v>Columna1</c:v>
                </c:pt>
              </c:strCache>
            </c:strRef>
          </c:tx>
          <c:dPt>
            <c:idx val="0"/>
            <c:bubble3D val="0"/>
            <c:spPr>
              <a:solidFill>
                <a:schemeClr val="accent1"/>
              </a:solidFill>
              <a:ln>
                <a:noFill/>
              </a:ln>
              <a:effectLst/>
            </c:spPr>
            <c:extLst>
              <c:ext xmlns:c16="http://schemas.microsoft.com/office/drawing/2014/chart" uri="{C3380CC4-5D6E-409C-BE32-E72D297353CC}">
                <c16:uniqueId val="{00000008-8D28-46B3-A4D9-D6685D59C05E}"/>
              </c:ext>
            </c:extLst>
          </c:dPt>
          <c:dPt>
            <c:idx val="1"/>
            <c:bubble3D val="0"/>
            <c:spPr>
              <a:solidFill>
                <a:schemeClr val="accent2"/>
              </a:solidFill>
              <a:ln>
                <a:noFill/>
              </a:ln>
              <a:effectLst/>
            </c:spPr>
            <c:extLst>
              <c:ext xmlns:c16="http://schemas.microsoft.com/office/drawing/2014/chart" uri="{C3380CC4-5D6E-409C-BE32-E72D297353CC}">
                <c16:uniqueId val="{0000000A-8D28-46B3-A4D9-D6685D59C05E}"/>
              </c:ext>
            </c:extLst>
          </c:dPt>
          <c:dPt>
            <c:idx val="2"/>
            <c:bubble3D val="0"/>
            <c:spPr>
              <a:solidFill>
                <a:schemeClr val="accent3"/>
              </a:solidFill>
              <a:ln>
                <a:noFill/>
              </a:ln>
              <a:effectLst/>
            </c:spPr>
            <c:extLst>
              <c:ext xmlns:c16="http://schemas.microsoft.com/office/drawing/2014/chart" uri="{C3380CC4-5D6E-409C-BE32-E72D297353CC}">
                <c16:uniqueId val="{0000000C-8D28-46B3-A4D9-D6685D59C05E}"/>
              </c:ext>
            </c:extLst>
          </c:dPt>
          <c:cat>
            <c:strRef>
              <c:f>Hoja1!$A$2:$A$4</c:f>
              <c:strCache>
                <c:ptCount val="3"/>
                <c:pt idx="0">
                  <c:v>Billetes, monedas y depósitos</c:v>
                </c:pt>
                <c:pt idx="1">
                  <c:v>Préstamos</c:v>
                </c:pt>
                <c:pt idx="2">
                  <c:v>Participaciones de capital y en fondos de inversión</c:v>
                </c:pt>
              </c:strCache>
            </c:strRef>
          </c:cat>
          <c:val>
            <c:numRef>
              <c:f>Hoja1!$C$2:$C$4</c:f>
              <c:numCache>
                <c:formatCode>0.0%</c:formatCode>
                <c:ptCount val="3"/>
                <c:pt idx="0">
                  <c:v>0.97976972925809291</c:v>
                </c:pt>
                <c:pt idx="1">
                  <c:v>2.0230270741907152E-2</c:v>
                </c:pt>
              </c:numCache>
            </c:numRef>
          </c:val>
          <c:extLst>
            <c:ext xmlns:c16="http://schemas.microsoft.com/office/drawing/2014/chart" uri="{C3380CC4-5D6E-409C-BE32-E72D297353CC}">
              <c16:uniqueId val="{0000000D-8D28-46B3-A4D9-D6685D59C05E}"/>
            </c:ext>
          </c:extLst>
        </c:ser>
        <c:dLbls>
          <c:showLegendKey val="0"/>
          <c:showVal val="0"/>
          <c:showCatName val="0"/>
          <c:showSerName val="0"/>
          <c:showPercent val="0"/>
          <c:showBubbleSize val="0"/>
          <c:showLeaderLines val="1"/>
        </c:dLbls>
        <c:firstSliceAng val="9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i="0">
                <a:solidFill>
                  <a:schemeClr val="tx1"/>
                </a:solidFill>
              </a:rPr>
              <a:t>Flujo Mensual</a:t>
            </a:r>
          </a:p>
        </c:rich>
      </c:tx>
      <c:layout>
        <c:manualLayout>
          <c:xMode val="edge"/>
          <c:yMode val="edge"/>
          <c:x val="0.35417726104549435"/>
          <c:y val="9.8328416912487702E-3"/>
        </c:manualLayout>
      </c:layout>
      <c:overlay val="0"/>
      <c:spPr>
        <a:noFill/>
        <a:ln>
          <a:noFill/>
        </a:ln>
        <a:effectLst/>
      </c:spPr>
      <c:txPr>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9.1218054436108878E-2"/>
          <c:w val="1"/>
          <c:h val="0.51978092521716523"/>
        </c:manualLayout>
      </c:layout>
      <c:barChart>
        <c:barDir val="col"/>
        <c:grouping val="clustered"/>
        <c:varyColors val="0"/>
        <c:ser>
          <c:idx val="0"/>
          <c:order val="0"/>
          <c:tx>
            <c:strRef>
              <c:f>Hoja1!$A$2</c:f>
              <c:strCache>
                <c:ptCount val="1"/>
                <c:pt idx="0">
                  <c:v>Categoría 1</c:v>
                </c:pt>
              </c:strCache>
            </c:strRef>
          </c:tx>
          <c:spPr>
            <a:noFill/>
            <a:ln>
              <a:noFill/>
            </a:ln>
            <a:effectLst/>
          </c:spPr>
          <c:invertIfNegative val="0"/>
          <c:dPt>
            <c:idx val="3"/>
            <c:invertIfNegative val="0"/>
            <c:bubble3D val="0"/>
            <c:spPr>
              <a:noFill/>
              <a:ln w="19050">
                <a:noFill/>
              </a:ln>
              <a:effectLst/>
            </c:spPr>
            <c:extLst>
              <c:ext xmlns:c16="http://schemas.microsoft.com/office/drawing/2014/chart" uri="{C3380CC4-5D6E-409C-BE32-E72D297353CC}">
                <c16:uniqueId val="{00000000-8EE9-417E-BC60-27B8348F8A95}"/>
              </c:ext>
            </c:extLst>
          </c:dPt>
          <c:dPt>
            <c:idx val="6"/>
            <c:invertIfNegative val="0"/>
            <c:bubble3D val="0"/>
            <c:spPr>
              <a:noFill/>
              <a:ln w="19050">
                <a:solidFill>
                  <a:schemeClr val="tx1"/>
                </a:solidFill>
              </a:ln>
              <a:effectLst/>
            </c:spPr>
            <c:extLst>
              <c:ext xmlns:c16="http://schemas.microsoft.com/office/drawing/2014/chart" uri="{C3380CC4-5D6E-409C-BE32-E72D297353CC}">
                <c16:uniqueId val="{00000002-8EE9-417E-BC60-27B8348F8A95}"/>
              </c:ext>
            </c:extLst>
          </c:dPt>
          <c:dPt>
            <c:idx val="9"/>
            <c:invertIfNegative val="0"/>
            <c:bubble3D val="0"/>
            <c:spPr>
              <a:solidFill>
                <a:schemeClr val="tx2"/>
              </a:solidFill>
              <a:ln w="28575">
                <a:solidFill>
                  <a:schemeClr val="tx1"/>
                </a:solidFill>
              </a:ln>
              <a:effectLst/>
            </c:spPr>
            <c:extLst>
              <c:ext xmlns:c16="http://schemas.microsoft.com/office/drawing/2014/chart" uri="{C3380CC4-5D6E-409C-BE32-E72D297353CC}">
                <c16:uniqueId val="{00000004-8EE9-417E-BC60-27B8348F8A95}"/>
              </c:ext>
            </c:extLst>
          </c:dPt>
          <c:dPt>
            <c:idx val="12"/>
            <c:invertIfNegative val="0"/>
            <c:bubble3D val="0"/>
            <c:spPr>
              <a:noFill/>
              <a:ln>
                <a:noFill/>
              </a:ln>
              <a:effectLst/>
            </c:spPr>
            <c:extLst>
              <c:ext xmlns:c16="http://schemas.microsoft.com/office/drawing/2014/chart" uri="{C3380CC4-5D6E-409C-BE32-E72D297353CC}">
                <c16:uniqueId val="{00000006-8EE9-417E-BC60-27B8348F8A95}"/>
              </c:ext>
            </c:extLst>
          </c:dPt>
          <c:dLbls>
            <c:dLbl>
              <c:idx val="9"/>
              <c:layout>
                <c:manualLayout>
                  <c:x val="0"/>
                  <c:y val="8.7624714663110115E-3"/>
                </c:manualLayout>
              </c:layout>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E9-417E-BC60-27B8348F8A95}"/>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0"/>
            <c:showCatName val="0"/>
            <c:showSerName val="0"/>
            <c:showPercent val="0"/>
            <c:showBubbleSize val="0"/>
            <c:extLst>
              <c:ext xmlns:c15="http://schemas.microsoft.com/office/drawing/2012/chart" uri="{CE6537A1-D6FC-4f65-9D91-7224C49458BB}">
                <c15:showLeaderLines val="0"/>
              </c:ext>
            </c:extLst>
          </c:dLbls>
          <c:cat>
            <c:strRef>
              <c:f>Hoja1!$B$1:$K$1</c:f>
              <c:strCache>
                <c:ptCount val="10"/>
                <c:pt idx="0">
                  <c:v>Enero</c:v>
                </c:pt>
                <c:pt idx="1">
                  <c:v>Febrero</c:v>
                </c:pt>
                <c:pt idx="2">
                  <c:v>Marzo</c:v>
                </c:pt>
                <c:pt idx="3">
                  <c:v>Abril</c:v>
                </c:pt>
                <c:pt idx="4">
                  <c:v>Mayo</c:v>
                </c:pt>
                <c:pt idx="5">
                  <c:v>Junio</c:v>
                </c:pt>
                <c:pt idx="6">
                  <c:v>Julio</c:v>
                </c:pt>
                <c:pt idx="7">
                  <c:v>Agosto</c:v>
                </c:pt>
                <c:pt idx="8">
                  <c:v>Septiembre</c:v>
                </c:pt>
                <c:pt idx="9">
                  <c:v>Total</c:v>
                </c:pt>
              </c:strCache>
            </c:strRef>
          </c:cat>
          <c:val>
            <c:numRef>
              <c:f>Hoja1!$B$2:$K$2</c:f>
              <c:numCache>
                <c:formatCode>_-* #,##0.0_-;\-* #,##0.0_-;_-* "-"??_-;_-@_-</c:formatCode>
                <c:ptCount val="10"/>
                <c:pt idx="0">
                  <c:v>-215.83104857999999</c:v>
                </c:pt>
                <c:pt idx="1">
                  <c:v>-1446.1343208799999</c:v>
                </c:pt>
                <c:pt idx="2">
                  <c:v>-266.71381174999999</c:v>
                </c:pt>
                <c:pt idx="3">
                  <c:v>-1058.8754252000001</c:v>
                </c:pt>
                <c:pt idx="4">
                  <c:v>172.42630532000004</c:v>
                </c:pt>
                <c:pt idx="5">
                  <c:v>7747.4710350799987</c:v>
                </c:pt>
                <c:pt idx="6">
                  <c:v>-29.409944420000009</c:v>
                </c:pt>
                <c:pt idx="7">
                  <c:v>-349.75856662999996</c:v>
                </c:pt>
                <c:pt idx="8">
                  <c:v>-500.36444255000009</c:v>
                </c:pt>
                <c:pt idx="9">
                  <c:v>4052.8097803899987</c:v>
                </c:pt>
              </c:numCache>
            </c:numRef>
          </c:val>
          <c:extLst>
            <c:ext xmlns:c16="http://schemas.microsoft.com/office/drawing/2014/chart" uri="{C3380CC4-5D6E-409C-BE32-E72D297353CC}">
              <c16:uniqueId val="{00000007-8EE9-417E-BC60-27B8348F8A95}"/>
            </c:ext>
          </c:extLst>
        </c:ser>
        <c:dLbls>
          <c:dLblPos val="inEnd"/>
          <c:showLegendKey val="0"/>
          <c:showVal val="1"/>
          <c:showCatName val="0"/>
          <c:showSerName val="0"/>
          <c:showPercent val="0"/>
          <c:showBubbleSize val="0"/>
        </c:dLbls>
        <c:gapWidth val="83"/>
        <c:overlap val="7"/>
        <c:axId val="152970912"/>
        <c:axId val="152969984"/>
      </c:barChart>
      <c:lineChart>
        <c:grouping val="standard"/>
        <c:varyColors val="0"/>
        <c:ser>
          <c:idx val="1"/>
          <c:order val="1"/>
          <c:tx>
            <c:strRef>
              <c:f>Hoja1!$A$3</c:f>
              <c:strCache>
                <c:ptCount val="1"/>
                <c:pt idx="0">
                  <c:v>Categoría 2</c:v>
                </c:pt>
              </c:strCache>
            </c:strRef>
          </c:tx>
          <c:spPr>
            <a:ln w="22225" cap="rnd">
              <a:noFill/>
              <a:round/>
            </a:ln>
            <a:effectLst>
              <a:outerShdw blurRad="50800" dist="38100" dir="18900000" algn="bl" rotWithShape="0">
                <a:prstClr val="black">
                  <a:alpha val="40000"/>
                </a:prstClr>
              </a:outerShdw>
            </a:effectLst>
          </c:spPr>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dPt>
            <c:idx val="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8-8EE9-417E-BC60-27B8348F8A95}"/>
              </c:ext>
            </c:extLst>
          </c:dPt>
          <c:dPt>
            <c:idx val="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9-8EE9-417E-BC60-27B8348F8A95}"/>
              </c:ext>
            </c:extLst>
          </c:dPt>
          <c:dPt>
            <c:idx val="2"/>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A-8EE9-417E-BC60-27B8348F8A95}"/>
              </c:ext>
            </c:extLst>
          </c:dPt>
          <c:dPt>
            <c:idx val="3"/>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B-8EE9-417E-BC60-27B8348F8A95}"/>
              </c:ext>
            </c:extLst>
          </c:dPt>
          <c:dPt>
            <c:idx val="4"/>
            <c:marker>
              <c:symbol val="circle"/>
              <c:size val="21"/>
              <c:spPr>
                <a:solidFill>
                  <a:schemeClr val="accent2">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4-4835-4678-8805-FE45DF1AF8D6}"/>
              </c:ext>
            </c:extLst>
          </c:dPt>
          <c:dPt>
            <c:idx val="5"/>
            <c:marker>
              <c:symbol val="circle"/>
              <c:size val="21"/>
              <c:spPr>
                <a:solidFill>
                  <a:schemeClr val="accent2">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C-8EE9-417E-BC60-27B8348F8A95}"/>
              </c:ext>
            </c:extLst>
          </c:dPt>
          <c:dPt>
            <c:idx val="6"/>
            <c:marker>
              <c:symbol val="circle"/>
              <c:size val="21"/>
              <c:spPr>
                <a:solidFill>
                  <a:schemeClr val="accent3">
                    <a:lumMod val="20000"/>
                    <a:lumOff val="80000"/>
                  </a:schemeClr>
                </a:solidFill>
                <a:ln w="15875">
                  <a:solidFill>
                    <a:schemeClr val="accent2"/>
                  </a:solidFill>
                  <a:round/>
                </a:ln>
                <a:effectLst/>
              </c:spPr>
            </c:marker>
            <c:bubble3D val="0"/>
            <c:spPr>
              <a:ln w="22225" cap="rnd">
                <a:noFill/>
                <a:round/>
              </a:ln>
              <a:effectLst/>
            </c:spPr>
            <c:extLst>
              <c:ext xmlns:c16="http://schemas.microsoft.com/office/drawing/2014/chart" uri="{C3380CC4-5D6E-409C-BE32-E72D297353CC}">
                <c16:uniqueId val="{0000000E-8EE9-417E-BC60-27B8348F8A95}"/>
              </c:ext>
            </c:extLst>
          </c:dPt>
          <c:dPt>
            <c:idx val="7"/>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F-8EE9-417E-BC60-27B8348F8A95}"/>
              </c:ext>
            </c:extLst>
          </c:dPt>
          <c:dPt>
            <c:idx val="8"/>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0-8EE9-417E-BC60-27B8348F8A95}"/>
              </c:ext>
            </c:extLst>
          </c:dPt>
          <c:dPt>
            <c:idx val="9"/>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1-8EE9-417E-BC60-27B8348F8A95}"/>
              </c:ext>
            </c:extLst>
          </c:dPt>
          <c:dPt>
            <c:idx val="1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2-8EE9-417E-BC60-27B8348F8A95}"/>
              </c:ext>
            </c:extLst>
          </c:dPt>
          <c:dPt>
            <c:idx val="1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3-8EE9-417E-BC60-27B8348F8A95}"/>
              </c:ext>
            </c:extLst>
          </c:dPt>
          <c:dLbls>
            <c:dLbl>
              <c:idx val="5"/>
              <c:layout>
                <c:manualLayout>
                  <c:x val="-9.3474426807760136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E9-417E-BC60-27B8348F8A95}"/>
                </c:ext>
              </c:extLst>
            </c:dLbl>
            <c:dLbl>
              <c:idx val="12"/>
              <c:delete val="1"/>
              <c:extLst>
                <c:ext xmlns:c15="http://schemas.microsoft.com/office/drawing/2012/chart" uri="{CE6537A1-D6FC-4f65-9D91-7224C49458BB}"/>
                <c:ext xmlns:c16="http://schemas.microsoft.com/office/drawing/2014/chart" uri="{C3380CC4-5D6E-409C-BE32-E72D297353CC}">
                  <c16:uniqueId val="{00000014-8EE9-417E-BC60-27B8348F8A95}"/>
                </c:ext>
              </c:extLst>
            </c:dLbl>
            <c:numFmt formatCode="#,##0.0_ ;[Red]\-#,##0.0\ "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Hoja1!$B$1:$K$1</c:f>
              <c:strCache>
                <c:ptCount val="10"/>
                <c:pt idx="0">
                  <c:v>Enero</c:v>
                </c:pt>
                <c:pt idx="1">
                  <c:v>Febrero</c:v>
                </c:pt>
                <c:pt idx="2">
                  <c:v>Marzo</c:v>
                </c:pt>
                <c:pt idx="3">
                  <c:v>Abril</c:v>
                </c:pt>
                <c:pt idx="4">
                  <c:v>Mayo</c:v>
                </c:pt>
                <c:pt idx="5">
                  <c:v>Junio</c:v>
                </c:pt>
                <c:pt idx="6">
                  <c:v>Julio</c:v>
                </c:pt>
                <c:pt idx="7">
                  <c:v>Agosto</c:v>
                </c:pt>
                <c:pt idx="8">
                  <c:v>Septiembre</c:v>
                </c:pt>
                <c:pt idx="9">
                  <c:v>Total</c:v>
                </c:pt>
              </c:strCache>
            </c:strRef>
          </c:cat>
          <c:val>
            <c:numRef>
              <c:f>Hoja1!$B$3:$K$3</c:f>
              <c:numCache>
                <c:formatCode>_-* #,##0.0_-;\-* #,##0.0_-;_-* "-"??_-;_-@_-</c:formatCode>
                <c:ptCount val="10"/>
                <c:pt idx="0">
                  <c:v>-215.83104857999999</c:v>
                </c:pt>
                <c:pt idx="1">
                  <c:v>-1446.1343208799999</c:v>
                </c:pt>
                <c:pt idx="2">
                  <c:v>-266.71381174999999</c:v>
                </c:pt>
                <c:pt idx="3">
                  <c:v>-1058.8754252000001</c:v>
                </c:pt>
                <c:pt idx="4">
                  <c:v>172.42630532000004</c:v>
                </c:pt>
                <c:pt idx="5">
                  <c:v>7747.4710350799987</c:v>
                </c:pt>
                <c:pt idx="6">
                  <c:v>-29.409944420000009</c:v>
                </c:pt>
                <c:pt idx="7">
                  <c:v>-349.75856662999996</c:v>
                </c:pt>
                <c:pt idx="8">
                  <c:v>-500.36444255000009</c:v>
                </c:pt>
              </c:numCache>
            </c:numRef>
          </c:val>
          <c:smooth val="0"/>
          <c:extLst>
            <c:ext xmlns:c16="http://schemas.microsoft.com/office/drawing/2014/chart" uri="{C3380CC4-5D6E-409C-BE32-E72D297353CC}">
              <c16:uniqueId val="{00000015-8EE9-417E-BC60-27B8348F8A95}"/>
            </c:ext>
          </c:extLst>
        </c:ser>
        <c:dLbls>
          <c:showLegendKey val="0"/>
          <c:showVal val="0"/>
          <c:showCatName val="0"/>
          <c:showSerName val="0"/>
          <c:showPercent val="0"/>
          <c:showBubbleSize val="0"/>
        </c:dLbls>
        <c:marker val="1"/>
        <c:smooth val="0"/>
        <c:axId val="152970912"/>
        <c:axId val="152969984"/>
      </c:lineChart>
      <c:catAx>
        <c:axId val="15297091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minorUnit val="1000"/>
      </c:valAx>
      <c:spPr>
        <a:pattFill prst="ltDnDiag">
          <a:fgClr>
            <a:srgbClr val="000000">
              <a:alpha val="0"/>
            </a:srgbClr>
          </a:fgClr>
          <a:bgClr>
            <a:srgbClr val="FFFFFF"/>
          </a:bgClr>
        </a:patt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r>
            <a:rPr lang="en-US" sz="10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a:solidFill>
                <a:sysClr val="windowText" lastClr="000000"/>
              </a:solidFill>
              <a:latin typeface="Times New Roman" panose="02020603050405020304" pitchFamily="18" charset="0"/>
              <a:cs typeface="Times New Roman" panose="02020603050405020304" pitchFamily="18" charset="0"/>
            </a:rPr>
            <a:t>tán</a:t>
          </a:r>
          <a:r>
            <a:rPr lang="en-US" sz="1000">
              <a:latin typeface="Times New Roman" panose="02020603050405020304" pitchFamily="18" charset="0"/>
              <a:cs typeface="Times New Roman" panose="02020603050405020304" pitchFamily="18" charset="0"/>
            </a:rPr>
            <a:t>dares internacionales.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a:latin typeface="Times New Roman" panose="02020603050405020304" pitchFamily="18" charset="0"/>
              <a:cs typeface="Times New Roman" panose="02020603050405020304" pitchFamily="18" charset="0"/>
            </a:rPr>
            <a:t>En los e</a:t>
          </a:r>
          <a:r>
            <a:rPr lang="en-US" sz="1000" b="1" strike="noStrike">
              <a:solidFill>
                <a:sysClr val="windowText" lastClr="000000"/>
              </a:solidFill>
              <a:latin typeface="Times New Roman" panose="02020603050405020304" pitchFamily="18" charset="0"/>
              <a:cs typeface="Times New Roman" panose="02020603050405020304" pitchFamily="18" charset="0"/>
            </a:rPr>
            <a:t>stándares</a:t>
          </a:r>
          <a:r>
            <a:rPr lang="en-US" sz="1000" b="1">
              <a:latin typeface="Times New Roman" panose="02020603050405020304" pitchFamily="18" charset="0"/>
              <a:cs typeface="Times New Roman" panose="02020603050405020304" pitchFamily="18" charset="0"/>
            </a:rPr>
            <a:t> internacionales, un gasto es una transacción que  disminuye el patrimonio neto del gobierno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2CC71809-35DE-431A-8E89-16EE3CBE8060}">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FB3419CE-7C14-4ADE-BDF0-3D966782548A}" type="parTrans" cxnId="{537138B4-325E-4E94-87BB-8E2AEB889CE3}">
      <dgm:prSet/>
      <dgm:spPr/>
      <dgm:t>
        <a:bodyPr/>
        <a:lstStyle/>
        <a:p>
          <a:endParaRPr lang="es-GT"/>
        </a:p>
      </dgm:t>
    </dgm:pt>
    <dgm:pt modelId="{8B785DAD-3895-49B6-A969-58089C321C73}" type="sibTrans" cxnId="{537138B4-325E-4E94-87BB-8E2AEB889CE3}">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LinFactY="-1552" custLinFactNeighborX="-34956" custLinFactNeighborY="-100000">
        <dgm:presLayoutVars>
          <dgm:bulletEnabled val="1"/>
        </dgm:presLayoutVars>
      </dgm:prSet>
      <dgm:spPr/>
    </dgm:pt>
  </dgm:ptLst>
  <dgm:cxnLst>
    <dgm:cxn modelId="{2B97E307-DDDC-45DC-9CA7-632648FED3B9}" type="presOf" srcId="{01C29C0B-230A-4A2F-B7AB-59E88CC6B709}" destId="{1111B519-2F2F-4512-95FE-D2216303CCBE}" srcOrd="0" destOrd="1"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1" destOrd="0" parTransId="{BD00C7DA-D115-4DC8-96E9-9A8238F85148}" sibTransId="{65EB422C-F1D3-4985-A61D-252683A994E5}"/>
    <dgm:cxn modelId="{4D524D71-7747-4CA7-959A-0C1A1AB0D512}" type="presOf" srcId="{2CC71809-35DE-431A-8E89-16EE3CBE8060}" destId="{1111B519-2F2F-4512-95FE-D2216303CCBE}" srcOrd="0" destOrd="0" presId="urn:microsoft.com/office/officeart/2005/8/layout/list1"/>
    <dgm:cxn modelId="{3FDC437B-7FEB-4570-9F57-FAA88171B111}" type="presOf" srcId="{68DFCB13-F778-41C4-88A6-8A8793BBCF6B}" destId="{374EA5B0-C6AD-46BF-9645-7F0ED252FE66}" srcOrd="0" destOrd="0" presId="urn:microsoft.com/office/officeart/2005/8/layout/list1"/>
    <dgm:cxn modelId="{537138B4-325E-4E94-87BB-8E2AEB889CE3}" srcId="{68DFCB13-F778-41C4-88A6-8A8793BBCF6B}" destId="{2CC71809-35DE-431A-8E89-16EE3CBE8060}" srcOrd="0" destOrd="0" parTransId="{FB3419CE-7C14-4ADE-BDF0-3D966782548A}" sibTransId="{8B785DAD-3895-49B6-A969-58089C321C73}"/>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b="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a:latin typeface="Times New Roman" panose="02020603050405020304" pitchFamily="18" charset="0"/>
              <a:cs typeface="Times New Roman" panose="02020603050405020304" pitchFamily="18" charset="0"/>
            </a:rPr>
            <a:t>por mutuo acuerdo o mediante la aplicación de la ley.... (MEFP 2014)</a:t>
          </a:r>
          <a:r>
            <a:rPr lang="en-US" sz="1000" b="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Las transacciones en activos y pasivos no generan cambios en el patrimonio neto.</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a:latin typeface="Times New Roman" panose="02020603050405020304" pitchFamily="18" charset="0"/>
              <a:cs typeface="Times New Roman" panose="02020603050405020304" pitchFamily="18" charset="0"/>
            </a:rPr>
            <a:t>En </a:t>
          </a:r>
          <a:r>
            <a:rPr lang="en-US" sz="1000" b="1">
              <a:solidFill>
                <a:sysClr val="windowText" lastClr="000000"/>
              </a:solidFill>
              <a:latin typeface="Times New Roman" panose="02020603050405020304" pitchFamily="18" charset="0"/>
              <a:cs typeface="Times New Roman" panose="02020603050405020304" pitchFamily="18" charset="0"/>
            </a:rPr>
            <a:t>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a:latin typeface="Times New Roman" panose="02020603050405020304" pitchFamily="18" charset="0"/>
              <a:cs typeface="Times New Roman" panose="02020603050405020304" pitchFamily="18" charset="0"/>
            </a:rPr>
            <a:t>no financieros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a:latin typeface="Times New Roman" panose="02020603050405020304" pitchFamily="18" charset="0"/>
              <a:cs typeface="Times New Roman" panose="02020603050405020304" pitchFamily="18" charset="0"/>
            </a:rPr>
            <a:t>hace que estos no sean perfectamente comparables.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existen los siguientes indicadores fiscales:</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C3D409E7-6B38-4B8B-8222-44C703F58D92}">
      <dgm:prSet phldrT="[Texto]" custT="1"/>
      <dgm:spPr/>
      <dgm:t>
        <a:bodyPr/>
        <a:lstStyle/>
        <a:p>
          <a:pPr algn="just"/>
          <a:r>
            <a:rPr lang="en-US" sz="1000" b="1">
              <a:latin typeface="Times New Roman" panose="02020603050405020304" pitchFamily="18" charset="0"/>
              <a:cs typeface="Times New Roman" panose="02020603050405020304" pitchFamily="18" charset="0"/>
            </a:rPr>
            <a:t> 1.) Resultado Operativo Neto (NOB) = </a:t>
          </a:r>
          <a:r>
            <a:rPr lang="en-US" sz="1000" b="0">
              <a:latin typeface="Times New Roman" panose="02020603050405020304" pitchFamily="18" charset="0"/>
              <a:cs typeface="Times New Roman" panose="02020603050405020304" pitchFamily="18" charset="0"/>
            </a:rPr>
            <a:t>Ingresos - Gastos</a:t>
          </a:r>
        </a:p>
      </dgm:t>
    </dgm:pt>
    <dgm:pt modelId="{35E9F9E2-37BD-42CA-AB3F-4201DA8C5649}" type="parTrans" cxnId="{D2A05A42-79FB-4963-8B17-BF9A6786808F}">
      <dgm:prSet/>
      <dgm:spPr/>
      <dgm:t>
        <a:bodyPr/>
        <a:lstStyle/>
        <a:p>
          <a:endParaRPr lang="en-US"/>
        </a:p>
      </dgm:t>
    </dgm:pt>
    <dgm:pt modelId="{AC2A3F50-B651-4C05-9C8B-A8F890A72D73}" type="sibTrans" cxnId="{D2A05A42-79FB-4963-8B17-BF9A6786808F}">
      <dgm:prSet/>
      <dgm:spPr/>
      <dgm:t>
        <a:bodyPr/>
        <a:lstStyle/>
        <a:p>
          <a:endParaRPr lang="en-US"/>
        </a:p>
      </dgm:t>
    </dgm:pt>
    <dgm:pt modelId="{3CF91B55-1F75-4C87-9C67-A20C9FA05662}">
      <dgm:prSet phldrT="[Texto]" custT="1"/>
      <dgm:spPr/>
      <dgm:t>
        <a:bodyPr/>
        <a:lstStyle/>
        <a:p>
          <a:pPr algn="just"/>
          <a:r>
            <a:rPr lang="en-US" sz="1000" b="1">
              <a:latin typeface="Times New Roman" panose="02020603050405020304" pitchFamily="18" charset="0"/>
              <a:cs typeface="Times New Roman" panose="02020603050405020304" pitchFamily="18" charset="0"/>
            </a:rPr>
            <a:t> 2.) Resultado Operativo Bruto (GOB) = </a:t>
          </a:r>
          <a:r>
            <a:rPr lang="en-US" sz="1000" b="0">
              <a:latin typeface="Times New Roman" panose="02020603050405020304" pitchFamily="18" charset="0"/>
              <a:cs typeface="Times New Roman" panose="02020603050405020304" pitchFamily="18" charset="0"/>
            </a:rPr>
            <a:t>Ingresos - Gastos + Consumo de capital fijo</a:t>
          </a:r>
        </a:p>
      </dgm:t>
    </dgm:pt>
    <dgm:pt modelId="{D8385961-8EAF-45B4-BEDD-9F02F740FFF8}" type="parTrans" cxnId="{3B646E4E-A757-43B0-9D09-BAE2E05E5ACA}">
      <dgm:prSet/>
      <dgm:spPr/>
      <dgm:t>
        <a:bodyPr/>
        <a:lstStyle/>
        <a:p>
          <a:endParaRPr lang="en-US"/>
        </a:p>
      </dgm:t>
    </dgm:pt>
    <dgm:pt modelId="{3B565E79-6F22-4474-B8A9-856B312682A2}" type="sibTrans" cxnId="{3B646E4E-A757-43B0-9D09-BAE2E05E5ACA}">
      <dgm:prSet/>
      <dgm:spPr/>
      <dgm:t>
        <a:bodyPr/>
        <a:lstStyle/>
        <a:p>
          <a:endParaRPr lang="en-US"/>
        </a:p>
      </dgm:t>
    </dgm:pt>
    <dgm:pt modelId="{DDD57492-28E1-4534-8544-AE4C4F54393E}">
      <dgm:prSet phldrT="[Texto]" custT="1"/>
      <dgm:spPr/>
      <dgm:t>
        <a:bodyPr/>
        <a:lstStyle/>
        <a:p>
          <a:pPr algn="just"/>
          <a:r>
            <a:rPr lang="en-US" sz="1000" b="1">
              <a:latin typeface="Times New Roman" panose="02020603050405020304" pitchFamily="18" charset="0"/>
              <a:cs typeface="Times New Roman" panose="02020603050405020304" pitchFamily="18" charset="0"/>
            </a:rPr>
            <a:t> 3.) P</a:t>
          </a:r>
          <a:r>
            <a:rPr lang="en-US" sz="1000" b="1">
              <a:solidFill>
                <a:sysClr val="windowText" lastClr="000000"/>
              </a:solidFill>
              <a:latin typeface="Times New Roman" panose="02020603050405020304" pitchFamily="18" charset="0"/>
              <a:cs typeface="Times New Roman" panose="02020603050405020304" pitchFamily="18" charset="0"/>
            </a:rPr>
            <a:t>réstamo </a:t>
          </a:r>
          <a:r>
            <a:rPr lang="en-US" sz="1000" b="1">
              <a:latin typeface="Times New Roman" panose="02020603050405020304" pitchFamily="18" charset="0"/>
              <a:cs typeface="Times New Roman" panose="02020603050405020304" pitchFamily="18" charset="0"/>
            </a:rPr>
            <a:t>o Endeudamiento Neto (NLB) = </a:t>
          </a:r>
          <a:r>
            <a:rPr lang="en-US" sz="1000" b="0">
              <a:latin typeface="Times New Roman" panose="02020603050405020304" pitchFamily="18" charset="0"/>
              <a:cs typeface="Times New Roman" panose="02020603050405020304" pitchFamily="18" charset="0"/>
            </a:rPr>
            <a:t>NOB - Inversión Neta en Activos no financieros</a:t>
          </a:r>
        </a:p>
      </dgm:t>
    </dgm:pt>
    <dgm:pt modelId="{F4E1C6EE-CD86-4051-8C91-50C764FC2B3C}" type="parTrans" cxnId="{804E552C-050E-4FE3-9A89-FA56FE6F04DB}">
      <dgm:prSet/>
      <dgm:spPr/>
      <dgm:t>
        <a:bodyPr/>
        <a:lstStyle/>
        <a:p>
          <a:endParaRPr lang="en-US"/>
        </a:p>
      </dgm:t>
    </dgm:pt>
    <dgm:pt modelId="{810108D9-3C67-4E9B-A016-62224098F996}" type="sibTrans" cxnId="{804E552C-050E-4FE3-9A89-FA56FE6F04DB}">
      <dgm:prSet/>
      <dgm:spPr/>
      <dgm:t>
        <a:bodyPr/>
        <a:lstStyle/>
        <a:p>
          <a:endParaRPr lang="en-US"/>
        </a:p>
      </dgm:t>
    </dgm:pt>
    <dgm:pt modelId="{B3BD5EE0-8B02-47DD-9A82-259B22A65496}">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C5714091-2FD7-45AB-996F-8D909E729D08}" type="parTrans" cxnId="{46B5D4E3-A1B8-446E-BF94-1D1B608BD025}">
      <dgm:prSet/>
      <dgm:spPr/>
      <dgm:t>
        <a:bodyPr/>
        <a:lstStyle/>
        <a:p>
          <a:endParaRPr lang="en-US"/>
        </a:p>
      </dgm:t>
    </dgm:pt>
    <dgm:pt modelId="{0927F4C2-33AC-47BA-87B1-9849DE2EA647}" type="sibTrans" cxnId="{46B5D4E3-A1B8-446E-BF94-1D1B608BD025}">
      <dgm:prSet/>
      <dgm:spPr/>
      <dgm:t>
        <a:bodyPr/>
        <a:lstStyle/>
        <a:p>
          <a:endParaRPr lang="en-US"/>
        </a:p>
      </dgm:t>
    </dgm:pt>
    <dgm:pt modelId="{8A074394-24C9-4417-B175-5B020C5132EE}">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DCE292B1-DDE6-4D66-AF9B-D8F09CB2C44B}" type="parTrans" cxnId="{DAA46AD6-6800-4619-A2CB-499FD1424CD7}">
      <dgm:prSet/>
      <dgm:spPr/>
      <dgm:t>
        <a:bodyPr/>
        <a:lstStyle/>
        <a:p>
          <a:endParaRPr lang="en-US"/>
        </a:p>
      </dgm:t>
    </dgm:pt>
    <dgm:pt modelId="{BB78CF32-946E-44D8-A2CB-37AAD43DE337}" type="sibTrans" cxnId="{DAA46AD6-6800-4619-A2CB-499FD1424CD7}">
      <dgm:prSet/>
      <dgm:spPr/>
      <dgm:t>
        <a:bodyPr/>
        <a:lstStyle/>
        <a:p>
          <a:endParaRPr lang="en-US"/>
        </a:p>
      </dgm:t>
    </dgm:pt>
    <dgm:pt modelId="{6F8CBEB5-BD00-46A8-8598-53DD15BC0D05}">
      <dgm:prSet phldrT="[Texto]" custT="1"/>
      <dgm:spPr/>
      <dgm:t>
        <a:bodyPr/>
        <a:lstStyle/>
        <a:p>
          <a:pPr algn="just"/>
          <a:r>
            <a:rPr lang="en-US" sz="1000" b="1">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dgm:t>
    </dgm:pt>
    <dgm:pt modelId="{A6EB8F4D-3D4D-468C-8830-DEA557649AF4}" type="parTrans" cxnId="{62A354C5-3414-40BA-AD2A-45FD81C86CE9}">
      <dgm:prSet/>
      <dgm:spPr/>
      <dgm:t>
        <a:bodyPr/>
        <a:lstStyle/>
        <a:p>
          <a:endParaRPr lang="en-US"/>
        </a:p>
      </dgm:t>
    </dgm:pt>
    <dgm:pt modelId="{0628C494-8642-43D7-B0AB-7759DCBF2D72}" type="sibTrans" cxnId="{62A354C5-3414-40BA-AD2A-45FD81C86CE9}">
      <dgm:prSet/>
      <dgm:spPr/>
      <dgm:t>
        <a:bodyPr/>
        <a:lstStyle/>
        <a:p>
          <a:endParaRPr lang="en-US"/>
        </a:p>
      </dgm:t>
    </dgm:pt>
    <dgm:pt modelId="{F66DA131-6178-426C-B996-591DEB09B7CB}">
      <dgm:prSet phldrT="[Texto]" custT="1"/>
      <dgm:spPr/>
      <dgm:t>
        <a:bodyPr/>
        <a:lstStyle/>
        <a:p>
          <a:pPr algn="just"/>
          <a:endParaRPr lang="en-US" sz="1000" b="0">
            <a:latin typeface="Times New Roman" panose="02020603050405020304" pitchFamily="18" charset="0"/>
            <a:cs typeface="Times New Roman" panose="02020603050405020304" pitchFamily="18" charset="0"/>
          </a:endParaRPr>
        </a:p>
      </dgm:t>
    </dgm:pt>
    <dgm:pt modelId="{CEF9C5CB-6317-4711-B2DE-3942A095800E}" type="parTrans" cxnId="{85A2A9D1-776F-461B-B5DF-FAD4A3C4D680}">
      <dgm:prSet/>
      <dgm:spPr/>
      <dgm:t>
        <a:bodyPr/>
        <a:lstStyle/>
        <a:p>
          <a:endParaRPr lang="en-US"/>
        </a:p>
      </dgm:t>
    </dgm:pt>
    <dgm:pt modelId="{FC3858C3-5945-430C-BB96-A050D5CEC46F}" type="sibTrans" cxnId="{85A2A9D1-776F-461B-B5DF-FAD4A3C4D680}">
      <dgm:prSet/>
      <dgm:spPr/>
      <dgm:t>
        <a:bodyPr/>
        <a:lstStyle/>
        <a:p>
          <a:endParaRPr lang="en-US"/>
        </a:p>
      </dgm:t>
    </dgm:pt>
    <dgm:pt modelId="{453A4B04-F76E-490B-8F74-F2CEC3B8BB19}">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E8616642-9216-43BC-85CB-23782D39B7D5}" type="parTrans" cxnId="{E97BC17C-ACE4-4BB7-BC2E-2E60E6AEC07C}">
      <dgm:prSet/>
      <dgm:spPr/>
      <dgm:t>
        <a:bodyPr/>
        <a:lstStyle/>
        <a:p>
          <a:endParaRPr lang="es-GT"/>
        </a:p>
      </dgm:t>
    </dgm:pt>
    <dgm:pt modelId="{0C3A3D81-03D4-41F0-9DDD-F21090510B7A}" type="sibTrans" cxnId="{E97BC17C-ACE4-4BB7-BC2E-2E60E6AEC07C}">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ScaleY="99330" custLinFactNeighborX="-1523" custLinFactNeighborY="1916">
        <dgm:presLayoutVars>
          <dgm:bulletEnabled val="1"/>
        </dgm:presLayoutVars>
      </dgm:prSet>
      <dgm:spPr/>
    </dgm:pt>
  </dgm:ptLst>
  <dgm:cxnLst>
    <dgm:cxn modelId="{69387103-3411-4A6C-B040-8EBB6BCB6A88}" type="presOf" srcId="{3CF91B55-1F75-4C87-9C67-A20C9FA05662}" destId="{1111B519-2F2F-4512-95FE-D2216303CCBE}" srcOrd="0" destOrd="3" presId="urn:microsoft.com/office/officeart/2005/8/layout/list1"/>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2C707029-5A0E-402A-B59F-EF340F2A4F9E}" type="presOf" srcId="{B3BD5EE0-8B02-47DD-9A82-259B22A65496}" destId="{1111B519-2F2F-4512-95FE-D2216303CCBE}" srcOrd="0" destOrd="8" presId="urn:microsoft.com/office/officeart/2005/8/layout/list1"/>
    <dgm:cxn modelId="{804E552C-050E-4FE3-9A89-FA56FE6F04DB}" srcId="{68DFCB13-F778-41C4-88A6-8A8793BBCF6B}" destId="{DDD57492-28E1-4534-8544-AE4C4F54393E}" srcOrd="4" destOrd="0" parTransId="{F4E1C6EE-CD86-4051-8C91-50C764FC2B3C}" sibTransId="{810108D9-3C67-4E9B-A016-62224098F996}"/>
    <dgm:cxn modelId="{EEF66A34-B4C1-4174-83EC-4C87C0DB31E8}" type="presOf" srcId="{DDD57492-28E1-4534-8544-AE4C4F54393E}" destId="{1111B519-2F2F-4512-95FE-D2216303CCBE}" srcOrd="0" destOrd="4"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D2A05A42-79FB-4963-8B17-BF9A6786808F}" srcId="{68DFCB13-F778-41C4-88A6-8A8793BBCF6B}" destId="{C3D409E7-6B38-4B8B-8222-44C703F58D92}" srcOrd="2" destOrd="0" parTransId="{35E9F9E2-37BD-42CA-AB3F-4201DA8C5649}" sibTransId="{AC2A3F50-B651-4C05-9C8B-A8F890A72D73}"/>
    <dgm:cxn modelId="{CF9E1A65-553C-4315-9B4D-6922C5CF2185}" type="presOf" srcId="{68DFCB13-F778-41C4-88A6-8A8793BBCF6B}" destId="{377E1CD8-0067-463D-AA47-7581C029D7D4}" srcOrd="1" destOrd="0" presId="urn:microsoft.com/office/officeart/2005/8/layout/list1"/>
    <dgm:cxn modelId="{3B646E4E-A757-43B0-9D09-BAE2E05E5ACA}" srcId="{68DFCB13-F778-41C4-88A6-8A8793BBCF6B}" destId="{3CF91B55-1F75-4C87-9C67-A20C9FA05662}" srcOrd="3" destOrd="0" parTransId="{D8385961-8EAF-45B4-BEDD-9F02F740FFF8}" sibTransId="{3B565E79-6F22-4474-B8A9-856B312682A2}"/>
    <dgm:cxn modelId="{047B5950-955A-4E9C-890F-03A957F573F6}" srcId="{68DFCB13-F778-41C4-88A6-8A8793BBCF6B}" destId="{01C29C0B-230A-4A2F-B7AB-59E88CC6B709}" srcOrd="0" destOrd="0" parTransId="{BD00C7DA-D115-4DC8-96E9-9A8238F85148}" sibTransId="{65EB422C-F1D3-4985-A61D-252683A994E5}"/>
    <dgm:cxn modelId="{85999478-29B4-46D0-A378-2630E510203B}" type="presOf" srcId="{6F8CBEB5-BD00-46A8-8598-53DD15BC0D05}" destId="{1111B519-2F2F-4512-95FE-D2216303CCBE}" srcOrd="0" destOrd="6" presId="urn:microsoft.com/office/officeart/2005/8/layout/list1"/>
    <dgm:cxn modelId="{3FDC437B-7FEB-4570-9F57-FAA88171B111}" type="presOf" srcId="{68DFCB13-F778-41C4-88A6-8A8793BBCF6B}" destId="{374EA5B0-C6AD-46BF-9645-7F0ED252FE66}" srcOrd="0" destOrd="0" presId="urn:microsoft.com/office/officeart/2005/8/layout/list1"/>
    <dgm:cxn modelId="{E97BC17C-ACE4-4BB7-BC2E-2E60E6AEC07C}" srcId="{68DFCB13-F778-41C4-88A6-8A8793BBCF6B}" destId="{453A4B04-F76E-490B-8F74-F2CEC3B8BB19}" srcOrd="7" destOrd="0" parTransId="{E8616642-9216-43BC-85CB-23782D39B7D5}" sibTransId="{0C3A3D81-03D4-41F0-9DDD-F21090510B7A}"/>
    <dgm:cxn modelId="{62A354C5-3414-40BA-AD2A-45FD81C86CE9}" srcId="{68DFCB13-F778-41C4-88A6-8A8793BBCF6B}" destId="{6F8CBEB5-BD00-46A8-8598-53DD15BC0D05}" srcOrd="6" destOrd="0" parTransId="{A6EB8F4D-3D4D-468C-8830-DEA557649AF4}" sibTransId="{0628C494-8642-43D7-B0AB-7759DCBF2D72}"/>
    <dgm:cxn modelId="{85A2A9D1-776F-461B-B5DF-FAD4A3C4D680}" srcId="{68DFCB13-F778-41C4-88A6-8A8793BBCF6B}" destId="{F66DA131-6178-426C-B996-591DEB09B7CB}" srcOrd="5" destOrd="0" parTransId="{CEF9C5CB-6317-4711-B2DE-3942A095800E}" sibTransId="{FC3858C3-5945-430C-BB96-A050D5CEC46F}"/>
    <dgm:cxn modelId="{DAA46AD6-6800-4619-A2CB-499FD1424CD7}" srcId="{68DFCB13-F778-41C4-88A6-8A8793BBCF6B}" destId="{8A074394-24C9-4417-B175-5B020C5132EE}" srcOrd="1" destOrd="0" parTransId="{DCE292B1-DDE6-4D66-AF9B-D8F09CB2C44B}" sibTransId="{BB78CF32-946E-44D8-A2CB-37AAD43DE337}"/>
    <dgm:cxn modelId="{B7CD85DB-3BC4-4CD4-9B17-43633D4795FD}" type="presOf" srcId="{C3D409E7-6B38-4B8B-8222-44C703F58D92}" destId="{1111B519-2F2F-4512-95FE-D2216303CCBE}" srcOrd="0" destOrd="2" presId="urn:microsoft.com/office/officeart/2005/8/layout/list1"/>
    <dgm:cxn modelId="{46B5D4E3-A1B8-446E-BF94-1D1B608BD025}" srcId="{68DFCB13-F778-41C4-88A6-8A8793BBCF6B}" destId="{B3BD5EE0-8B02-47DD-9A82-259B22A65496}" srcOrd="8" destOrd="0" parTransId="{C5714091-2FD7-45AB-996F-8D909E729D08}" sibTransId="{0927F4C2-33AC-47BA-87B1-9849DE2EA647}"/>
    <dgm:cxn modelId="{15195BEA-A48C-4BD1-BDAE-C543865F46DB}" type="presOf" srcId="{453A4B04-F76E-490B-8F74-F2CEC3B8BB19}" destId="{1111B519-2F2F-4512-95FE-D2216303CCBE}" srcOrd="0" destOrd="7" presId="urn:microsoft.com/office/officeart/2005/8/layout/list1"/>
    <dgm:cxn modelId="{CA8266EB-2064-4FDD-95F0-C82CE1121510}" type="presOf" srcId="{8A074394-24C9-4417-B175-5B020C5132EE}" destId="{1111B519-2F2F-4512-95FE-D2216303CCBE}" srcOrd="0" destOrd="1" presId="urn:microsoft.com/office/officeart/2005/8/layout/list1"/>
    <dgm:cxn modelId="{5046DFFC-77C3-490C-81E3-6B38AFE3D365}" type="presOf" srcId="{F66DA131-6178-426C-B996-591DEB09B7CB}" destId="{1111B519-2F2F-4512-95FE-D2216303CCBE}" srcOrd="0" destOrd="5"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kern="1200">
              <a:solidFill>
                <a:sysClr val="windowText" lastClr="000000"/>
              </a:solidFill>
              <a:latin typeface="Times New Roman" panose="02020603050405020304" pitchFamily="18" charset="0"/>
              <a:cs typeface="Times New Roman" panose="02020603050405020304" pitchFamily="18" charset="0"/>
            </a:rPr>
            <a:t>tán</a:t>
          </a:r>
          <a:r>
            <a:rPr lang="en-US" sz="1000" kern="1200">
              <a:latin typeface="Times New Roman" panose="02020603050405020304" pitchFamily="18" charset="0"/>
              <a:cs typeface="Times New Roman" panose="02020603050405020304" pitchFamily="18" charset="0"/>
            </a:rPr>
            <a:t>dares internacionales.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0"/>
          <a:ext cx="5836919" cy="8662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04140" rIns="453010" bIns="71120" numCol="1" spcCol="1270" anchor="t" anchorCtr="0">
          <a:noAutofit/>
        </a:bodyPr>
        <a:lstStyle/>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kern="1200">
              <a:latin typeface="Times New Roman" panose="02020603050405020304" pitchFamily="18" charset="0"/>
              <a:cs typeface="Times New Roman" panose="02020603050405020304" pitchFamily="18" charset="0"/>
            </a:rPr>
            <a:t>En los e</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stándares</a:t>
          </a:r>
          <a:r>
            <a:rPr lang="en-US" sz="1000" b="1" kern="1200">
              <a:latin typeface="Times New Roman" panose="02020603050405020304" pitchFamily="18" charset="0"/>
              <a:cs typeface="Times New Roman" panose="02020603050405020304" pitchFamily="18" charset="0"/>
            </a:rPr>
            <a:t> internacionales, un gasto es una transacción que  disminuye el patrimonio neto del gobierno (MEFP 2014) </a:t>
          </a:r>
        </a:p>
      </dsp:txBody>
      <dsp:txXfrm>
        <a:off x="0" y="0"/>
        <a:ext cx="5836919" cy="866250"/>
      </dsp:txXfrm>
    </dsp:sp>
    <dsp:sp modelId="{377E1CD8-0067-463D-AA47-7581C029D7D4}">
      <dsp:nvSpPr>
        <dsp:cNvPr id="0" name=""/>
        <dsp:cNvSpPr/>
      </dsp:nvSpPr>
      <dsp:spPr>
        <a:xfrm>
          <a:off x="291560" y="4234"/>
          <a:ext cx="1379380"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765" y="11439"/>
        <a:ext cx="1364970" cy="1331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kern="1200">
              <a:latin typeface="Times New Roman" panose="02020603050405020304" pitchFamily="18" charset="0"/>
              <a:cs typeface="Times New Roman" panose="02020603050405020304" pitchFamily="18" charset="0"/>
            </a:rPr>
            <a:t>por mutuo acuerdo o mediante la aplicación de la ley.... (MEFP 2014)</a:t>
          </a:r>
          <a:r>
            <a:rPr lang="en-US" sz="1000" b="0" kern="1200">
              <a:latin typeface="Times New Roman" panose="02020603050405020304" pitchFamily="18" charset="0"/>
              <a:cs typeface="Times New Roman" panose="02020603050405020304" pitchFamily="18" charset="0"/>
            </a:rPr>
            <a:t>. </a:t>
          </a:r>
          <a:r>
            <a:rPr lang="en-US" sz="1000" b="1" kern="1200">
              <a:latin typeface="Times New Roman" panose="02020603050405020304" pitchFamily="18" charset="0"/>
              <a:cs typeface="Times New Roman" panose="02020603050405020304" pitchFamily="18" charset="0"/>
            </a:rPr>
            <a:t>Las transacciones en activos y pasivos no generan cambios en el patrimonio neto.</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14959"/>
          <a:ext cx="5836919" cy="7497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45796"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kern="1200">
              <a:latin typeface="Times New Roman" panose="02020603050405020304" pitchFamily="18" charset="0"/>
              <a:cs typeface="Times New Roman" panose="02020603050405020304" pitchFamily="18" charset="0"/>
            </a:rPr>
            <a:t>En </a:t>
          </a:r>
          <a:r>
            <a:rPr lang="en-US" sz="1000" b="1" kern="1200">
              <a:solidFill>
                <a:sysClr val="windowText" lastClr="000000"/>
              </a:solidFill>
              <a:latin typeface="Times New Roman" panose="02020603050405020304" pitchFamily="18" charset="0"/>
              <a:cs typeface="Times New Roman" panose="02020603050405020304" pitchFamily="18" charset="0"/>
            </a:rPr>
            <a:t>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kern="1200">
              <a:latin typeface="Times New Roman" panose="02020603050405020304" pitchFamily="18" charset="0"/>
              <a:cs typeface="Times New Roman" panose="02020603050405020304" pitchFamily="18" charset="0"/>
            </a:rPr>
            <a:t>no financieros (MEFP 2014) </a:t>
          </a:r>
        </a:p>
      </dsp:txBody>
      <dsp:txXfrm>
        <a:off x="0" y="114959"/>
        <a:ext cx="5836919" cy="749700"/>
      </dsp:txXfrm>
    </dsp:sp>
    <dsp:sp modelId="{377E1CD8-0067-463D-AA47-7581C029D7D4}">
      <dsp:nvSpPr>
        <dsp:cNvPr id="0" name=""/>
        <dsp:cNvSpPr/>
      </dsp:nvSpPr>
      <dsp:spPr>
        <a:xfrm>
          <a:off x="291560" y="11639"/>
          <a:ext cx="1379380" cy="206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1647" y="21726"/>
        <a:ext cx="1359206" cy="1864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73866"/>
          <a:ext cx="5836919" cy="178003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6395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kern="12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kern="1200">
              <a:latin typeface="Times New Roman" panose="02020603050405020304" pitchFamily="18" charset="0"/>
              <a:cs typeface="Times New Roman" panose="02020603050405020304" pitchFamily="18" charset="0"/>
            </a:rPr>
            <a:t>hace que estos no sean perfectamente comparables.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existen los siguientes indicadores fiscales:</a:t>
          </a: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1.) Resultado Operativo Neto (NOB) = </a:t>
          </a:r>
          <a:r>
            <a:rPr lang="en-US" sz="1000" b="0" kern="1200">
              <a:latin typeface="Times New Roman" panose="02020603050405020304" pitchFamily="18" charset="0"/>
              <a:cs typeface="Times New Roman" panose="02020603050405020304" pitchFamily="18" charset="0"/>
            </a:rPr>
            <a:t>Ingresos - Gastos</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2.) Resultado Operativo Bruto (GOB) = </a:t>
          </a:r>
          <a:r>
            <a:rPr lang="en-US" sz="1000" b="0" kern="1200">
              <a:latin typeface="Times New Roman" panose="02020603050405020304" pitchFamily="18" charset="0"/>
              <a:cs typeface="Times New Roman" panose="02020603050405020304" pitchFamily="18" charset="0"/>
            </a:rPr>
            <a:t>Ingresos - Gastos + Consumo de capital fijo</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3.) P</a:t>
          </a:r>
          <a:r>
            <a:rPr lang="en-US" sz="1000" b="1" kern="1200">
              <a:solidFill>
                <a:sysClr val="windowText" lastClr="000000"/>
              </a:solidFill>
              <a:latin typeface="Times New Roman" panose="02020603050405020304" pitchFamily="18" charset="0"/>
              <a:cs typeface="Times New Roman" panose="02020603050405020304" pitchFamily="18" charset="0"/>
            </a:rPr>
            <a:t>réstamo </a:t>
          </a:r>
          <a:r>
            <a:rPr lang="en-US" sz="1000" b="1" kern="1200">
              <a:latin typeface="Times New Roman" panose="02020603050405020304" pitchFamily="18" charset="0"/>
              <a:cs typeface="Times New Roman" panose="02020603050405020304" pitchFamily="18" charset="0"/>
            </a:rPr>
            <a:t>o Endeudamiento Neto (NLB) = </a:t>
          </a:r>
          <a:r>
            <a:rPr lang="en-US" sz="1000" b="0" kern="1200">
              <a:latin typeface="Times New Roman" panose="02020603050405020304" pitchFamily="18" charset="0"/>
              <a:cs typeface="Times New Roman" panose="02020603050405020304" pitchFamily="18" charset="0"/>
            </a:rPr>
            <a:t>NOB - Inversión Neta en Activos no financieros</a:t>
          </a:r>
        </a:p>
        <a:p>
          <a:pPr marL="57150" lvl="1" indent="-57150" algn="just" defTabSz="444500">
            <a:lnSpc>
              <a:spcPct val="90000"/>
            </a:lnSpc>
            <a:spcBef>
              <a:spcPct val="0"/>
            </a:spcBef>
            <a:spcAft>
              <a:spcPct val="15000"/>
            </a:spcAft>
            <a:buChar char="•"/>
          </a:pPr>
          <a:endParaRPr lang="en-US" sz="1000" b="0"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dsp:txBody>
      <dsp:txXfrm>
        <a:off x="0" y="73866"/>
        <a:ext cx="5836919" cy="1780030"/>
      </dsp:txXfrm>
    </dsp:sp>
    <dsp:sp modelId="{377E1CD8-0067-463D-AA47-7581C029D7D4}">
      <dsp:nvSpPr>
        <dsp:cNvPr id="0" name=""/>
        <dsp:cNvSpPr/>
      </dsp:nvSpPr>
      <dsp:spPr>
        <a:xfrm>
          <a:off x="291560" y="1660"/>
          <a:ext cx="1379380" cy="1416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477" y="8577"/>
        <a:ext cx="1365546" cy="12786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0.58983</cdr:x>
      <cdr:y>0.85411</cdr:y>
    </cdr:from>
    <cdr:to>
      <cdr:x>0.99983</cdr:x>
      <cdr:y>0.98061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475387" y="1610812"/>
          <a:ext cx="2415788" cy="2385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0.11183</cdr:x>
      <cdr:y>0.923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232701" y="5137796"/>
          <a:ext cx="1848194" cy="4286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baseline="30000">
              <a:effectLst/>
              <a:latin typeface="Times New Roman" panose="02020603050405020304" pitchFamily="18" charset="0"/>
              <a:ea typeface="Times New Roman" panose="02020603050405020304" pitchFamily="18" charset="0"/>
              <a:cs typeface="Times New Roman" panose="02020603050405020304" pitchFamily="18" charset="0"/>
            </a:rPr>
            <a:t>1/ </a:t>
          </a: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Con base a la metodología nacional</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0.81689</cdr:x>
      <cdr:y>0.28701</cdr:y>
    </cdr:from>
    <cdr:to>
      <cdr:x>0.81689</cdr:x>
      <cdr:y>0.88429</cdr:y>
    </cdr:to>
    <cdr:cxnSp macro="">
      <cdr:nvCxnSpPr>
        <cdr:cNvPr id="3" name="Conector recto 2"/>
        <cdr:cNvCxnSpPr/>
      </cdr:nvCxnSpPr>
      <cdr:spPr>
        <a:xfrm xmlns:a="http://schemas.openxmlformats.org/drawingml/2006/main">
          <a:off x="4878109" y="520510"/>
          <a:ext cx="0" cy="1083203"/>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0.49772</cdr:x>
      <cdr:y>0.80262</cdr:y>
    </cdr:from>
    <cdr:to>
      <cdr:x>0.97375</cdr:x>
      <cdr:y>0.80262</cdr:y>
    </cdr:to>
    <cdr:cxnSp macro="">
      <cdr:nvCxnSpPr>
        <cdr:cNvPr id="3" name="Conector recto 2"/>
        <cdr:cNvCxnSpPr/>
      </cdr:nvCxnSpPr>
      <cdr:spPr>
        <a:xfrm xmlns:a="http://schemas.openxmlformats.org/drawingml/2006/main">
          <a:off x="1431090" y="3504975"/>
          <a:ext cx="1368719" cy="0"/>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0.61655</cdr:x>
      <cdr:y>0.93127</cdr:y>
    </cdr:from>
    <cdr:to>
      <cdr:x>1</cdr:x>
      <cdr:y>0.99162</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1714028" y="4066777"/>
          <a:ext cx="1066002" cy="263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0.01254</cdr:x>
      <cdr:y>0.87521</cdr:y>
    </cdr:from>
    <cdr:to>
      <cdr:x>0.46437</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5601" y="1910687"/>
          <a:ext cx="1282497" cy="2724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0.11996</cdr:x>
      <cdr:y>0.26432</cdr:y>
    </cdr:from>
    <cdr:to>
      <cdr:x>0.1217</cdr:x>
      <cdr:y>0.80909</cdr:y>
    </cdr:to>
    <cdr:cxnSp macro="">
      <cdr:nvCxnSpPr>
        <cdr:cNvPr id="3" name="Conector recto 2"/>
        <cdr:cNvCxnSpPr/>
      </cdr:nvCxnSpPr>
      <cdr:spPr>
        <a:xfrm xmlns:a="http://schemas.openxmlformats.org/drawingml/2006/main">
          <a:off x="715041" y="581919"/>
          <a:ext cx="10371" cy="1199335"/>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0.58965</cdr:x>
      <cdr:y>0.87017</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514753" y="2125683"/>
          <a:ext cx="2445992" cy="3171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0.78614</cdr:x>
      <cdr:y>0.83261</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725916" y="1382572"/>
          <a:ext cx="1285629" cy="2779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0.89851</cdr:x>
      <cdr:y>0.06012</cdr:y>
    </cdr:from>
    <cdr:to>
      <cdr:x>0.89851</cdr:x>
      <cdr:y>0.74059</cdr:y>
    </cdr:to>
    <cdr:cxnSp macro="">
      <cdr:nvCxnSpPr>
        <cdr:cNvPr id="4" name="Conector recto 3"/>
        <cdr:cNvCxnSpPr/>
      </cdr:nvCxnSpPr>
      <cdr:spPr>
        <a:xfrm xmlns:a="http://schemas.openxmlformats.org/drawingml/2006/main">
          <a:off x="3023944" y="123887"/>
          <a:ext cx="0" cy="1402159"/>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cdr:x>
      <cdr:y>0.85843</cdr:y>
    </cdr:from>
    <cdr:to>
      <cdr:x>0.34038</cdr:x>
      <cdr:y>0.96201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987552" y="1768864"/>
          <a:ext cx="1145549" cy="2134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8.xml><?xml version="1.0" encoding="utf-8"?>
<c:userShapes xmlns:c="http://schemas.openxmlformats.org/drawingml/2006/chart">
  <cdr:relSizeAnchor xmlns:cdr="http://schemas.openxmlformats.org/drawingml/2006/chartDrawing">
    <cdr:from>
      <cdr:x>0.91543</cdr:x>
      <cdr:y>0.07584</cdr:y>
    </cdr:from>
    <cdr:to>
      <cdr:x>0.91543</cdr:x>
      <cdr:y>0.59943</cdr:y>
    </cdr:to>
    <cdr:cxnSp macro="">
      <cdr:nvCxnSpPr>
        <cdr:cNvPr id="3" name="Conector recto 2"/>
        <cdr:cNvCxnSpPr/>
      </cdr:nvCxnSpPr>
      <cdr:spPr>
        <a:xfrm xmlns:a="http://schemas.openxmlformats.org/drawingml/2006/main">
          <a:off x="3080889" y="147839"/>
          <a:ext cx="0" cy="1020712"/>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0.00962</cdr:x>
      <cdr:y>0.87005</cdr:y>
    </cdr:from>
    <cdr:to>
      <cdr:x>0.35</cdr:x>
      <cdr:y>0.97953</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1750" y="1889492"/>
          <a:ext cx="1123950" cy="2377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0.00762</cdr:x>
      <cdr:y>0.90287</cdr:y>
    </cdr:from>
    <cdr:to>
      <cdr:x>0.19352</cdr:x>
      <cdr:y>0.98821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5224" y="2800096"/>
          <a:ext cx="1103262" cy="26466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5B47F-8224-4013-8EE9-B6C68F06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3188</Words>
  <Characters>17535</Characters>
  <Application>Microsoft Office Word</Application>
  <DocSecurity>0</DocSecurity>
  <Lines>146</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las FinanzAs públicas</vt:lpstr>
      <vt:lpstr>Informe de las FinanzAs públicas</vt:lpstr>
    </vt:vector>
  </TitlesOfParts>
  <Company>Dirección de Análisis y Política Fiscal</Company>
  <LinksUpToDate>false</LinksUpToDate>
  <CharactersWithSpaces>20682</CharactersWithSpaces>
  <SharedDoc>false</SharedDoc>
  <HLinks>
    <vt:vector size="102" baseType="variant">
      <vt:variant>
        <vt:i4>1966137</vt:i4>
      </vt:variant>
      <vt:variant>
        <vt:i4>98</vt:i4>
      </vt:variant>
      <vt:variant>
        <vt:i4>0</vt:i4>
      </vt:variant>
      <vt:variant>
        <vt:i4>5</vt:i4>
      </vt:variant>
      <vt:variant>
        <vt:lpwstr/>
      </vt:variant>
      <vt:variant>
        <vt:lpwstr>_Toc71108078</vt:lpwstr>
      </vt:variant>
      <vt:variant>
        <vt:i4>1114169</vt:i4>
      </vt:variant>
      <vt:variant>
        <vt:i4>92</vt:i4>
      </vt:variant>
      <vt:variant>
        <vt:i4>0</vt:i4>
      </vt:variant>
      <vt:variant>
        <vt:i4>5</vt:i4>
      </vt:variant>
      <vt:variant>
        <vt:lpwstr/>
      </vt:variant>
      <vt:variant>
        <vt:lpwstr>_Toc71108077</vt:lpwstr>
      </vt:variant>
      <vt:variant>
        <vt:i4>1245241</vt:i4>
      </vt:variant>
      <vt:variant>
        <vt:i4>86</vt:i4>
      </vt:variant>
      <vt:variant>
        <vt:i4>0</vt:i4>
      </vt:variant>
      <vt:variant>
        <vt:i4>5</vt:i4>
      </vt:variant>
      <vt:variant>
        <vt:lpwstr/>
      </vt:variant>
      <vt:variant>
        <vt:lpwstr>_Toc71108075</vt:lpwstr>
      </vt:variant>
      <vt:variant>
        <vt:i4>1179705</vt:i4>
      </vt:variant>
      <vt:variant>
        <vt:i4>80</vt:i4>
      </vt:variant>
      <vt:variant>
        <vt:i4>0</vt:i4>
      </vt:variant>
      <vt:variant>
        <vt:i4>5</vt:i4>
      </vt:variant>
      <vt:variant>
        <vt:lpwstr/>
      </vt:variant>
      <vt:variant>
        <vt:lpwstr>_Toc71108074</vt:lpwstr>
      </vt:variant>
      <vt:variant>
        <vt:i4>1376313</vt:i4>
      </vt:variant>
      <vt:variant>
        <vt:i4>74</vt:i4>
      </vt:variant>
      <vt:variant>
        <vt:i4>0</vt:i4>
      </vt:variant>
      <vt:variant>
        <vt:i4>5</vt:i4>
      </vt:variant>
      <vt:variant>
        <vt:lpwstr/>
      </vt:variant>
      <vt:variant>
        <vt:lpwstr>_Toc71108073</vt:lpwstr>
      </vt:variant>
      <vt:variant>
        <vt:i4>1048632</vt:i4>
      </vt:variant>
      <vt:variant>
        <vt:i4>68</vt:i4>
      </vt:variant>
      <vt:variant>
        <vt:i4>0</vt:i4>
      </vt:variant>
      <vt:variant>
        <vt:i4>5</vt:i4>
      </vt:variant>
      <vt:variant>
        <vt:lpwstr/>
      </vt:variant>
      <vt:variant>
        <vt:lpwstr>_Toc71108066</vt:lpwstr>
      </vt:variant>
      <vt:variant>
        <vt:i4>1245240</vt:i4>
      </vt:variant>
      <vt:variant>
        <vt:i4>62</vt:i4>
      </vt:variant>
      <vt:variant>
        <vt:i4>0</vt:i4>
      </vt:variant>
      <vt:variant>
        <vt:i4>5</vt:i4>
      </vt:variant>
      <vt:variant>
        <vt:lpwstr/>
      </vt:variant>
      <vt:variant>
        <vt:lpwstr>_Toc71108065</vt:lpwstr>
      </vt:variant>
      <vt:variant>
        <vt:i4>1179704</vt:i4>
      </vt:variant>
      <vt:variant>
        <vt:i4>56</vt:i4>
      </vt:variant>
      <vt:variant>
        <vt:i4>0</vt:i4>
      </vt:variant>
      <vt:variant>
        <vt:i4>5</vt:i4>
      </vt:variant>
      <vt:variant>
        <vt:lpwstr/>
      </vt:variant>
      <vt:variant>
        <vt:lpwstr>_Toc71108064</vt:lpwstr>
      </vt:variant>
      <vt:variant>
        <vt:i4>1310776</vt:i4>
      </vt:variant>
      <vt:variant>
        <vt:i4>50</vt:i4>
      </vt:variant>
      <vt:variant>
        <vt:i4>0</vt:i4>
      </vt:variant>
      <vt:variant>
        <vt:i4>5</vt:i4>
      </vt:variant>
      <vt:variant>
        <vt:lpwstr/>
      </vt:variant>
      <vt:variant>
        <vt:lpwstr>_Toc71108062</vt:lpwstr>
      </vt:variant>
      <vt:variant>
        <vt:i4>1507384</vt:i4>
      </vt:variant>
      <vt:variant>
        <vt:i4>44</vt:i4>
      </vt:variant>
      <vt:variant>
        <vt:i4>0</vt:i4>
      </vt:variant>
      <vt:variant>
        <vt:i4>5</vt:i4>
      </vt:variant>
      <vt:variant>
        <vt:lpwstr/>
      </vt:variant>
      <vt:variant>
        <vt:lpwstr>_Toc71108061</vt:lpwstr>
      </vt:variant>
      <vt:variant>
        <vt:i4>2031675</vt:i4>
      </vt:variant>
      <vt:variant>
        <vt:i4>38</vt:i4>
      </vt:variant>
      <vt:variant>
        <vt:i4>0</vt:i4>
      </vt:variant>
      <vt:variant>
        <vt:i4>5</vt:i4>
      </vt:variant>
      <vt:variant>
        <vt:lpwstr/>
      </vt:variant>
      <vt:variant>
        <vt:lpwstr>_Toc71108059</vt:lpwstr>
      </vt:variant>
      <vt:variant>
        <vt:i4>1966139</vt:i4>
      </vt:variant>
      <vt:variant>
        <vt:i4>32</vt:i4>
      </vt:variant>
      <vt:variant>
        <vt:i4>0</vt:i4>
      </vt:variant>
      <vt:variant>
        <vt:i4>5</vt:i4>
      </vt:variant>
      <vt:variant>
        <vt:lpwstr/>
      </vt:variant>
      <vt:variant>
        <vt:lpwstr>_Toc71108058</vt:lpwstr>
      </vt:variant>
      <vt:variant>
        <vt:i4>1245243</vt:i4>
      </vt:variant>
      <vt:variant>
        <vt:i4>26</vt:i4>
      </vt:variant>
      <vt:variant>
        <vt:i4>0</vt:i4>
      </vt:variant>
      <vt:variant>
        <vt:i4>5</vt:i4>
      </vt:variant>
      <vt:variant>
        <vt:lpwstr/>
      </vt:variant>
      <vt:variant>
        <vt:lpwstr>_Toc71108055</vt:lpwstr>
      </vt:variant>
      <vt:variant>
        <vt:i4>1507387</vt:i4>
      </vt:variant>
      <vt:variant>
        <vt:i4>20</vt:i4>
      </vt:variant>
      <vt:variant>
        <vt:i4>0</vt:i4>
      </vt:variant>
      <vt:variant>
        <vt:i4>5</vt:i4>
      </vt:variant>
      <vt:variant>
        <vt:lpwstr/>
      </vt:variant>
      <vt:variant>
        <vt:lpwstr>_Toc71108051</vt:lpwstr>
      </vt:variant>
      <vt:variant>
        <vt:i4>1441851</vt:i4>
      </vt:variant>
      <vt:variant>
        <vt:i4>14</vt:i4>
      </vt:variant>
      <vt:variant>
        <vt:i4>0</vt:i4>
      </vt:variant>
      <vt:variant>
        <vt:i4>5</vt:i4>
      </vt:variant>
      <vt:variant>
        <vt:lpwstr/>
      </vt:variant>
      <vt:variant>
        <vt:lpwstr>_Toc71108050</vt:lpwstr>
      </vt:variant>
      <vt:variant>
        <vt:i4>2031674</vt:i4>
      </vt:variant>
      <vt:variant>
        <vt:i4>8</vt:i4>
      </vt:variant>
      <vt:variant>
        <vt:i4>0</vt:i4>
      </vt:variant>
      <vt:variant>
        <vt:i4>5</vt:i4>
      </vt:variant>
      <vt:variant>
        <vt:lpwstr/>
      </vt:variant>
      <vt:variant>
        <vt:lpwstr>_Toc71108049</vt:lpwstr>
      </vt:variant>
      <vt:variant>
        <vt:i4>1966138</vt:i4>
      </vt:variant>
      <vt:variant>
        <vt:i4>2</vt:i4>
      </vt:variant>
      <vt:variant>
        <vt:i4>0</vt:i4>
      </vt:variant>
      <vt:variant>
        <vt:i4>5</vt:i4>
      </vt:variant>
      <vt:variant>
        <vt:lpwstr/>
      </vt:variant>
      <vt:variant>
        <vt:lpwstr>_Toc71108048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Tercer Trimestre</dc:subject>
  <dc:creator>DAPF</dc:creator>
  <cp:keywords/>
  <dc:description/>
  <cp:lastModifiedBy>Carlos Herrera</cp:lastModifiedBy>
  <cp:revision>22</cp:revision>
  <cp:lastPrinted>2023-11-30T15:59:00Z</cp:lastPrinted>
  <dcterms:created xsi:type="dcterms:W3CDTF">2023-11-29T22:35:00Z</dcterms:created>
  <dcterms:modified xsi:type="dcterms:W3CDTF">2023-11-30T16:00:00Z</dcterms:modified>
  <cp:category>Ministerio de Finanzas Públicas</cp:category>
</cp:coreProperties>
</file>